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BA61F">
      <w:pPr>
        <w:widowControl/>
        <w:jc w:val="center"/>
        <w:rPr>
          <w:rFonts w:hint="eastAsia" w:ascii="宋体" w:hAnsi="宋体" w:eastAsia="宋体" w:cs="宋体"/>
          <w:b/>
          <w:bCs/>
          <w:sz w:val="44"/>
          <w:szCs w:val="44"/>
        </w:rPr>
      </w:pPr>
    </w:p>
    <w:p w14:paraId="7B10558B">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4</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11.27</w:t>
      </w:r>
      <w:r>
        <w:rPr>
          <w:rFonts w:hint="eastAsia" w:ascii="宋体" w:hAnsi="宋体" w:eastAsia="宋体" w:cs="宋体"/>
          <w:b/>
          <w:bCs/>
          <w:sz w:val="44"/>
          <w:szCs w:val="44"/>
          <w:lang w:eastAsia="zh-CN"/>
        </w:rPr>
        <w:t>办公设备</w:t>
      </w:r>
      <w:r>
        <w:rPr>
          <w:rFonts w:hint="eastAsia" w:ascii="宋体" w:hAnsi="宋体" w:eastAsia="宋体" w:cs="宋体"/>
          <w:b/>
          <w:bCs/>
          <w:sz w:val="44"/>
          <w:szCs w:val="44"/>
          <w:highlight w:val="none"/>
        </w:rPr>
        <w:t>采购项目</w:t>
      </w:r>
    </w:p>
    <w:p w14:paraId="28CAAA41">
      <w:pPr>
        <w:widowControl/>
        <w:jc w:val="center"/>
        <w:rPr>
          <w:rFonts w:hint="eastAsia" w:ascii="宋体" w:hAnsi="宋体" w:eastAsia="宋体" w:cs="宋体"/>
          <w:b/>
          <w:bCs/>
          <w:sz w:val="44"/>
          <w:szCs w:val="44"/>
        </w:rPr>
      </w:pPr>
    </w:p>
    <w:p w14:paraId="35D425C7">
      <w:pPr>
        <w:pStyle w:val="5"/>
        <w:rPr>
          <w:rFonts w:ascii="Times New Roman" w:hAnsi="Times New Roman" w:cs="Times New Roman"/>
          <w:szCs w:val="21"/>
        </w:rPr>
      </w:pPr>
    </w:p>
    <w:p w14:paraId="462A6F52">
      <w:pPr>
        <w:pStyle w:val="5"/>
        <w:rPr>
          <w:rFonts w:ascii="Times New Roman" w:hAnsi="Times New Roman" w:cs="Times New Roman"/>
          <w:szCs w:val="21"/>
        </w:rPr>
      </w:pPr>
    </w:p>
    <w:p w14:paraId="0CD1DE1E">
      <w:pPr>
        <w:pStyle w:val="5"/>
        <w:rPr>
          <w:rFonts w:ascii="Times New Roman" w:hAnsi="Times New Roman" w:cs="Times New Roman"/>
          <w:szCs w:val="21"/>
        </w:rPr>
      </w:pPr>
    </w:p>
    <w:p w14:paraId="7CA7B8E8">
      <w:pPr>
        <w:spacing w:line="540" w:lineRule="exact"/>
        <w:ind w:firstLine="420"/>
        <w:rPr>
          <w:rFonts w:ascii="Times New Roman" w:hAnsi="Times New Roman" w:cs="Times New Roman"/>
          <w:szCs w:val="21"/>
        </w:rPr>
      </w:pPr>
    </w:p>
    <w:p w14:paraId="5B430238">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D8843B5">
      <w:pPr>
        <w:spacing w:line="540" w:lineRule="exact"/>
        <w:ind w:firstLine="420"/>
        <w:rPr>
          <w:rFonts w:ascii="Times New Roman" w:hAnsi="Times New Roman" w:cs="Times New Roman"/>
          <w:szCs w:val="21"/>
        </w:rPr>
      </w:pPr>
    </w:p>
    <w:p w14:paraId="643B0897">
      <w:pPr>
        <w:spacing w:line="540" w:lineRule="exact"/>
        <w:ind w:firstLine="420"/>
        <w:rPr>
          <w:rFonts w:ascii="Times New Roman" w:hAnsi="Times New Roman" w:cs="Times New Roman"/>
          <w:szCs w:val="21"/>
        </w:rPr>
      </w:pPr>
    </w:p>
    <w:p w14:paraId="464C64AC">
      <w:pPr>
        <w:spacing w:line="540" w:lineRule="exact"/>
        <w:ind w:firstLine="420"/>
        <w:rPr>
          <w:rFonts w:ascii="Times New Roman" w:hAnsi="Times New Roman" w:cs="Times New Roman"/>
          <w:szCs w:val="21"/>
        </w:rPr>
      </w:pPr>
    </w:p>
    <w:p w14:paraId="0024E343">
      <w:pPr>
        <w:spacing w:line="540" w:lineRule="exact"/>
        <w:ind w:firstLine="420"/>
        <w:rPr>
          <w:rFonts w:ascii="Times New Roman" w:hAnsi="Times New Roman" w:cs="Times New Roman"/>
          <w:szCs w:val="21"/>
        </w:rPr>
      </w:pPr>
    </w:p>
    <w:p w14:paraId="6A0380CB">
      <w:pPr>
        <w:spacing w:line="540" w:lineRule="exact"/>
        <w:ind w:firstLine="420"/>
        <w:rPr>
          <w:rFonts w:ascii="Times New Roman" w:hAnsi="Times New Roman" w:cs="Times New Roman"/>
          <w:szCs w:val="21"/>
        </w:rPr>
      </w:pPr>
    </w:p>
    <w:p w14:paraId="66D7EE05">
      <w:pPr>
        <w:spacing w:line="540" w:lineRule="exact"/>
        <w:ind w:firstLine="420"/>
        <w:rPr>
          <w:rFonts w:ascii="Times New Roman" w:hAnsi="Times New Roman" w:cs="Times New Roman"/>
          <w:szCs w:val="21"/>
        </w:rPr>
      </w:pPr>
    </w:p>
    <w:p w14:paraId="56D4D3BD">
      <w:pPr>
        <w:spacing w:line="540" w:lineRule="exact"/>
        <w:ind w:firstLine="420"/>
        <w:rPr>
          <w:rFonts w:ascii="Times New Roman" w:hAnsi="Times New Roman" w:cs="Times New Roman"/>
          <w:szCs w:val="21"/>
        </w:rPr>
      </w:pPr>
    </w:p>
    <w:p w14:paraId="087A240C">
      <w:pPr>
        <w:spacing w:line="540" w:lineRule="exact"/>
        <w:ind w:firstLine="420"/>
        <w:rPr>
          <w:rFonts w:ascii="Times New Roman" w:hAnsi="Times New Roman" w:cs="Times New Roman"/>
          <w:szCs w:val="21"/>
        </w:rPr>
      </w:pPr>
    </w:p>
    <w:p w14:paraId="0BFB93CA">
      <w:pPr>
        <w:spacing w:line="540" w:lineRule="exact"/>
        <w:ind w:firstLine="420"/>
        <w:rPr>
          <w:rFonts w:ascii="Times New Roman" w:hAnsi="Times New Roman" w:cs="Times New Roman"/>
          <w:szCs w:val="21"/>
        </w:rPr>
      </w:pPr>
    </w:p>
    <w:p w14:paraId="5D07A876">
      <w:pPr>
        <w:spacing w:line="540" w:lineRule="exact"/>
        <w:ind w:firstLine="640"/>
        <w:rPr>
          <w:rFonts w:ascii="Times New Roman" w:hAnsi="Times New Roman" w:eastAsia="黑体" w:cs="Times New Roman"/>
          <w:sz w:val="32"/>
          <w:szCs w:val="32"/>
        </w:rPr>
      </w:pPr>
    </w:p>
    <w:p w14:paraId="07A61609">
      <w:pPr>
        <w:spacing w:line="540" w:lineRule="exact"/>
        <w:ind w:left="1896" w:leftChars="903"/>
        <w:rPr>
          <w:rFonts w:ascii="Times New Roman" w:hAnsi="Times New Roman" w:cs="Times New Roman"/>
          <w:szCs w:val="21"/>
        </w:rPr>
      </w:pPr>
    </w:p>
    <w:p w14:paraId="2927CDA9">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4C2B0FD8">
      <w:pPr>
        <w:snapToGrid w:val="0"/>
        <w:ind w:left="1896" w:leftChars="903"/>
        <w:rPr>
          <w:rFonts w:ascii="Times New Roman" w:hAnsi="Times New Roman" w:cs="Times New Roman"/>
          <w:sz w:val="32"/>
          <w:szCs w:val="32"/>
        </w:rPr>
      </w:pPr>
    </w:p>
    <w:p w14:paraId="38406281">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4</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11</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27</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0466ADCC">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307CF13">
          <w:pPr>
            <w:jc w:val="center"/>
            <w:rPr>
              <w:rFonts w:ascii="黑体" w:hAnsi="黑体" w:eastAsia="黑体" w:cs="黑体"/>
              <w:sz w:val="44"/>
              <w:szCs w:val="44"/>
            </w:rPr>
          </w:pPr>
          <w:bookmarkStart w:id="0" w:name="_Toc13148_WPSOffice_Type1"/>
        </w:p>
        <w:p w14:paraId="04D9F39E">
          <w:pPr>
            <w:jc w:val="center"/>
            <w:rPr>
              <w:rFonts w:ascii="黑体" w:hAnsi="黑体" w:eastAsia="黑体" w:cs="黑体"/>
              <w:sz w:val="44"/>
              <w:szCs w:val="44"/>
            </w:rPr>
          </w:pPr>
          <w:r>
            <w:rPr>
              <w:rFonts w:hint="eastAsia" w:ascii="黑体" w:hAnsi="黑体" w:eastAsia="黑体" w:cs="黑体"/>
              <w:sz w:val="44"/>
              <w:szCs w:val="44"/>
            </w:rPr>
            <w:t>目 录</w:t>
          </w:r>
        </w:p>
        <w:p w14:paraId="50378F35">
          <w:pPr>
            <w:pStyle w:val="5"/>
          </w:pPr>
        </w:p>
        <w:p w14:paraId="3824AF73">
          <w:pPr>
            <w:pStyle w:val="22"/>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615C64A6">
          <w:pPr>
            <w:pStyle w:val="22"/>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45BD2C9">
          <w:pPr>
            <w:pStyle w:val="22"/>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3DBC4F1B">
          <w:pPr>
            <w:pStyle w:val="22"/>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59C1FBC">
          <w:pPr>
            <w:pStyle w:val="22"/>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269E1164">
          <w:pPr>
            <w:pStyle w:val="22"/>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3B7C85C1">
          <w:pPr>
            <w:pStyle w:val="22"/>
            <w:tabs>
              <w:tab w:val="right" w:leader="dot" w:pos="8312"/>
            </w:tabs>
          </w:pPr>
        </w:p>
      </w:sdtContent>
    </w:sdt>
    <w:bookmarkEnd w:id="0"/>
    <w:p w14:paraId="73338D66">
      <w:pPr>
        <w:jc w:val="center"/>
        <w:rPr>
          <w:rFonts w:ascii="宋体" w:hAnsi="宋体" w:eastAsia="宋体"/>
        </w:rPr>
      </w:pPr>
    </w:p>
    <w:p w14:paraId="65BB3189">
      <w:pPr>
        <w:jc w:val="center"/>
        <w:rPr>
          <w:rFonts w:ascii="宋体" w:hAnsi="宋体" w:eastAsia="宋体"/>
        </w:rPr>
      </w:pPr>
    </w:p>
    <w:p w14:paraId="28630CEA">
      <w:pPr>
        <w:rPr>
          <w:rFonts w:ascii="Times New Roman" w:hAnsi="Times New Roman" w:eastAsia="宋体" w:cs="Times New Roman"/>
        </w:rPr>
      </w:pPr>
      <w:r>
        <w:rPr>
          <w:rFonts w:ascii="Times New Roman" w:hAnsi="Times New Roman" w:eastAsia="宋体" w:cs="Times New Roman"/>
        </w:rPr>
        <w:br w:type="page"/>
      </w:r>
    </w:p>
    <w:p w14:paraId="5FF5F461">
      <w:pPr>
        <w:pStyle w:val="2"/>
        <w:spacing w:before="312" w:after="312"/>
        <w:rPr>
          <w:rFonts w:ascii="Times New Roman" w:hAnsi="Times New Roman" w:eastAsia="宋体" w:cs="Times New Roman"/>
          <w:color w:val="auto"/>
        </w:rPr>
      </w:pPr>
      <w:bookmarkStart w:id="1" w:name="_Toc6425_WPSOffice_Level1"/>
      <w:r>
        <w:rPr>
          <w:rFonts w:ascii="Times New Roman" w:hAnsi="Times New Roman" w:eastAsia="宋体" w:cs="Times New Roman"/>
          <w:color w:val="auto"/>
        </w:rPr>
        <w:t>采购公告</w:t>
      </w:r>
      <w:bookmarkEnd w:id="1"/>
    </w:p>
    <w:p w14:paraId="0CB471EF">
      <w:pPr>
        <w:pStyle w:val="3"/>
        <w:snapToGrid w:val="0"/>
        <w:spacing w:before="120" w:after="120" w:line="560" w:lineRule="exact"/>
        <w:ind w:firstLine="403"/>
        <w:rPr>
          <w:rFonts w:ascii="Times New Roman" w:hAnsi="Times New Roman" w:eastAsia="黑体" w:cs="Times New Roman"/>
          <w:bCs w:val="0"/>
          <w:sz w:val="22"/>
          <w:szCs w:val="15"/>
          <w:highlight w:val="none"/>
        </w:rPr>
      </w:pPr>
      <w:bookmarkStart w:id="2" w:name="_Toc12765"/>
      <w:bookmarkStart w:id="3" w:name="_Toc24354_WPSOffice_Level2"/>
      <w:bookmarkStart w:id="4" w:name="_Toc4489_WPSOffice_Level2"/>
      <w:bookmarkStart w:id="5" w:name="_Toc525632585"/>
      <w:bookmarkStart w:id="6" w:name="_Toc10395_WPSOffice_Level2"/>
      <w:bookmarkStart w:id="7" w:name="_Toc13871"/>
      <w:bookmarkStart w:id="8" w:name="_Toc6496_WPSOffice_Level2"/>
      <w:r>
        <w:rPr>
          <w:rFonts w:ascii="Times New Roman" w:hAnsi="Times New Roman" w:eastAsia="黑体" w:cs="Times New Roman"/>
          <w:bCs w:val="0"/>
          <w:sz w:val="22"/>
          <w:szCs w:val="15"/>
          <w:highlight w:val="none"/>
        </w:rPr>
        <w:t>项目简介</w:t>
      </w:r>
      <w:bookmarkEnd w:id="2"/>
      <w:bookmarkEnd w:id="3"/>
      <w:bookmarkEnd w:id="4"/>
      <w:bookmarkEnd w:id="5"/>
      <w:bookmarkEnd w:id="6"/>
      <w:bookmarkEnd w:id="7"/>
      <w:bookmarkEnd w:id="8"/>
    </w:p>
    <w:p w14:paraId="10560305">
      <w:pPr>
        <w:widowControl/>
        <w:ind w:firstLine="420" w:firstLineChars="200"/>
        <w:rPr>
          <w:rFonts w:ascii="宋体" w:hAnsi="宋体" w:eastAsia="宋体" w:cs="宋体"/>
          <w:b/>
          <w:bCs/>
          <w:color w:val="FF0000"/>
          <w:sz w:val="44"/>
          <w:szCs w:val="44"/>
          <w:highlight w:val="none"/>
        </w:rPr>
      </w:pPr>
      <w:r>
        <w:rPr>
          <w:rFonts w:ascii="Times New Roman" w:hAnsi="Times New Roman" w:cs="Times New Roman"/>
          <w:szCs w:val="22"/>
          <w:highlight w:val="none"/>
        </w:rPr>
        <w:t>1.1</w:t>
      </w:r>
      <w:r>
        <w:rPr>
          <w:rFonts w:ascii="Times New Roman" w:hAnsi="Times New Roman" w:cs="Times New Roman"/>
          <w:color w:val="FF0000"/>
          <w:szCs w:val="22"/>
          <w:highlight w:val="none"/>
        </w:rPr>
        <w:t xml:space="preserve"> </w:t>
      </w:r>
      <w:r>
        <w:rPr>
          <w:rFonts w:ascii="Times New Roman" w:hAnsi="Times New Roman" w:cs="Times New Roman"/>
          <w:szCs w:val="22"/>
          <w:highlight w:val="none"/>
        </w:rPr>
        <w:t>项目名称：</w:t>
      </w:r>
      <w:r>
        <w:rPr>
          <w:rFonts w:hint="eastAsia" w:ascii="宋体" w:hAnsi="宋体" w:eastAsia="宋体" w:cs="宋体"/>
          <w:szCs w:val="21"/>
          <w:highlight w:val="none"/>
          <w:u w:val="single"/>
        </w:rPr>
        <w:t>202</w:t>
      </w:r>
      <w:r>
        <w:rPr>
          <w:rFonts w:hint="eastAsia" w:ascii="宋体" w:hAnsi="宋体" w:eastAsia="宋体" w:cs="宋体"/>
          <w:szCs w:val="21"/>
          <w:highlight w:val="none"/>
          <w:u w:val="single"/>
          <w:lang w:val="en-US" w:eastAsia="zh-CN"/>
        </w:rPr>
        <w:t>4</w:t>
      </w:r>
      <w:r>
        <w:rPr>
          <w:rFonts w:hint="eastAsia" w:ascii="宋体" w:hAnsi="宋体" w:eastAsia="宋体" w:cs="宋体"/>
          <w:szCs w:val="21"/>
          <w:highlight w:val="none"/>
          <w:u w:val="single"/>
        </w:rPr>
        <w:t>年度安徽交运集团汽车销售有限公司</w:t>
      </w:r>
      <w:r>
        <w:rPr>
          <w:rFonts w:hint="eastAsia" w:ascii="宋体" w:hAnsi="宋体" w:eastAsia="宋体" w:cs="宋体"/>
          <w:szCs w:val="21"/>
          <w:highlight w:val="none"/>
          <w:u w:val="single"/>
          <w:lang w:val="en-US" w:eastAsia="zh-CN"/>
        </w:rPr>
        <w:t>11.27</w:t>
      </w:r>
      <w:bookmarkStart w:id="164" w:name="_GoBack"/>
      <w:bookmarkEnd w:id="164"/>
      <w:r>
        <w:rPr>
          <w:rFonts w:hint="eastAsia" w:ascii="宋体" w:hAnsi="宋体" w:eastAsia="宋体" w:cs="宋体"/>
          <w:szCs w:val="21"/>
          <w:highlight w:val="none"/>
          <w:u w:val="single"/>
          <w:lang w:val="en-US" w:eastAsia="zh-CN"/>
        </w:rPr>
        <w:t>办公设备</w:t>
      </w:r>
      <w:r>
        <w:rPr>
          <w:rFonts w:hint="eastAsia" w:ascii="宋体" w:hAnsi="宋体" w:eastAsia="宋体" w:cs="宋体"/>
          <w:szCs w:val="21"/>
          <w:highlight w:val="none"/>
          <w:u w:val="single"/>
        </w:rPr>
        <w:t>采购项目</w:t>
      </w:r>
    </w:p>
    <w:p w14:paraId="0B3B0A3A">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1.2 采</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购</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人：</w:t>
      </w:r>
      <w:r>
        <w:rPr>
          <w:rFonts w:hint="eastAsia" w:ascii="Times New Roman" w:hAnsi="Times New Roman" w:cs="Times New Roman"/>
          <w:szCs w:val="22"/>
          <w:highlight w:val="none"/>
          <w:u w:val="single"/>
        </w:rPr>
        <w:t>安徽交运集团汽车销售有限公司</w:t>
      </w:r>
    </w:p>
    <w:p w14:paraId="6DCD37CF">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1.3 项目概况：</w:t>
      </w:r>
      <w:r>
        <w:rPr>
          <w:rFonts w:hint="eastAsia" w:ascii="Times New Roman" w:hAnsi="Times New Roman" w:cs="Times New Roman"/>
          <w:color w:val="auto"/>
          <w:szCs w:val="22"/>
          <w:highlight w:val="none"/>
          <w:u w:val="single"/>
        </w:rPr>
        <w:t>本项目为2024年</w:t>
      </w:r>
      <w:r>
        <w:rPr>
          <w:rFonts w:hint="eastAsia" w:ascii="Times New Roman" w:hAnsi="Times New Roman" w:cs="Times New Roman"/>
          <w:color w:val="auto"/>
          <w:szCs w:val="22"/>
          <w:highlight w:val="none"/>
          <w:u w:val="single"/>
          <w:lang w:eastAsia="zh-CN"/>
        </w:rPr>
        <w:t>会议、办公设备</w:t>
      </w:r>
      <w:r>
        <w:rPr>
          <w:rFonts w:hint="eastAsia" w:ascii="Times New Roman" w:hAnsi="Times New Roman" w:cs="Times New Roman"/>
          <w:color w:val="auto"/>
          <w:szCs w:val="22"/>
          <w:highlight w:val="none"/>
          <w:u w:val="single"/>
        </w:rPr>
        <w:t>采购项目，根据相关规定及实际工作需要，拟采购一批</w:t>
      </w:r>
      <w:r>
        <w:rPr>
          <w:rFonts w:hint="eastAsia" w:ascii="Times New Roman" w:hAnsi="Times New Roman" w:cs="Times New Roman"/>
          <w:color w:val="auto"/>
          <w:szCs w:val="22"/>
          <w:highlight w:val="none"/>
          <w:u w:val="single"/>
          <w:lang w:eastAsia="zh-CN"/>
        </w:rPr>
        <w:t>会议、办公设备</w:t>
      </w:r>
      <w:r>
        <w:rPr>
          <w:rFonts w:hint="eastAsia" w:ascii="Times New Roman" w:hAnsi="Times New Roman" w:cs="Times New Roman"/>
          <w:color w:val="auto"/>
          <w:szCs w:val="22"/>
          <w:highlight w:val="none"/>
          <w:u w:val="single"/>
        </w:rPr>
        <w:t xml:space="preserve">，具体见采购清单 </w:t>
      </w:r>
    </w:p>
    <w:p w14:paraId="67D242CE">
      <w:pPr>
        <w:pStyle w:val="3"/>
        <w:snapToGrid w:val="0"/>
        <w:spacing w:before="120" w:after="120" w:line="560" w:lineRule="exact"/>
        <w:ind w:firstLine="403"/>
        <w:rPr>
          <w:rFonts w:ascii="Times New Roman" w:hAnsi="Times New Roman" w:eastAsia="黑体" w:cs="Times New Roman"/>
          <w:bCs w:val="0"/>
          <w:sz w:val="22"/>
          <w:szCs w:val="15"/>
          <w:highlight w:val="none"/>
        </w:rPr>
      </w:pPr>
      <w:bookmarkStart w:id="9" w:name="_Toc18453"/>
      <w:bookmarkStart w:id="10" w:name="_Toc17858_WPSOffice_Level2"/>
      <w:bookmarkStart w:id="11" w:name="_Toc8128_WPSOffice_Level2"/>
      <w:bookmarkStart w:id="12" w:name="_Toc23266_WPSOffice_Level2"/>
      <w:bookmarkStart w:id="13" w:name="_Toc525632586"/>
      <w:bookmarkStart w:id="14" w:name="_Toc18367_WPSOffice_Level2"/>
      <w:bookmarkStart w:id="15" w:name="_Toc10274"/>
      <w:r>
        <w:rPr>
          <w:rFonts w:ascii="Times New Roman" w:hAnsi="Times New Roman" w:eastAsia="黑体" w:cs="Times New Roman"/>
          <w:bCs w:val="0"/>
          <w:sz w:val="22"/>
          <w:szCs w:val="15"/>
          <w:highlight w:val="none"/>
        </w:rPr>
        <w:t>采购说明</w:t>
      </w:r>
      <w:bookmarkEnd w:id="9"/>
      <w:bookmarkEnd w:id="10"/>
      <w:bookmarkEnd w:id="11"/>
      <w:bookmarkEnd w:id="12"/>
      <w:bookmarkEnd w:id="13"/>
      <w:bookmarkEnd w:id="14"/>
      <w:bookmarkEnd w:id="15"/>
    </w:p>
    <w:p w14:paraId="320F1E01">
      <w:pPr>
        <w:snapToGrid w:val="0"/>
        <w:spacing w:line="500" w:lineRule="atLeast"/>
        <w:ind w:firstLine="420" w:firstLineChars="200"/>
        <w:rPr>
          <w:rFonts w:ascii="Times New Roman" w:hAnsi="Times New Roman" w:cs="Times New Roman"/>
          <w:szCs w:val="22"/>
          <w:highlight w:val="none"/>
          <w:u w:val="single"/>
        </w:rPr>
      </w:pPr>
      <w:bookmarkStart w:id="16" w:name="_Toc4489_WPSOffice_Level3"/>
      <w:r>
        <w:rPr>
          <w:rFonts w:ascii="Times New Roman" w:hAnsi="Times New Roman" w:cs="Times New Roman"/>
          <w:szCs w:val="22"/>
          <w:highlight w:val="none"/>
        </w:rPr>
        <w:t>2.1 采购方式：</w:t>
      </w:r>
      <w:bookmarkEnd w:id="16"/>
      <w:r>
        <w:rPr>
          <w:rFonts w:ascii="Times New Roman" w:hAnsi="Times New Roman" w:cs="Times New Roman"/>
          <w:szCs w:val="22"/>
          <w:highlight w:val="none"/>
          <w:u w:val="single"/>
        </w:rPr>
        <w:t>公开询比采购</w:t>
      </w:r>
    </w:p>
    <w:p w14:paraId="3C92AAAF">
      <w:pPr>
        <w:snapToGrid w:val="0"/>
        <w:spacing w:line="500" w:lineRule="atLeast"/>
        <w:ind w:firstLine="420" w:firstLineChars="200"/>
        <w:rPr>
          <w:rFonts w:ascii="Times New Roman" w:hAnsi="Times New Roman" w:cs="Times New Roman"/>
          <w:szCs w:val="22"/>
          <w:highlight w:val="none"/>
          <w:u w:val="single"/>
        </w:rPr>
      </w:pPr>
      <w:bookmarkStart w:id="17" w:name="_Toc23266_WPSOffice_Level3"/>
      <w:r>
        <w:rPr>
          <w:rFonts w:ascii="Times New Roman" w:hAnsi="Times New Roman" w:cs="Times New Roman"/>
          <w:szCs w:val="22"/>
          <w:highlight w:val="none"/>
        </w:rPr>
        <w:t>2.2 资金来源及比例：</w:t>
      </w:r>
      <w:bookmarkEnd w:id="17"/>
      <w:bookmarkStart w:id="18" w:name="_Toc22379_WPSOffice_Level3"/>
      <w:r>
        <w:rPr>
          <w:rFonts w:ascii="Times New Roman" w:hAnsi="Times New Roman" w:cs="Times New Roman"/>
          <w:szCs w:val="22"/>
          <w:highlight w:val="none"/>
          <w:u w:val="single"/>
        </w:rPr>
        <w:t>企业自筹</w:t>
      </w:r>
    </w:p>
    <w:p w14:paraId="5DB30206">
      <w:pPr>
        <w:snapToGrid w:val="0"/>
        <w:spacing w:line="500" w:lineRule="atLeast"/>
        <w:ind w:firstLine="420" w:firstLineChars="200"/>
        <w:rPr>
          <w:rFonts w:hint="default" w:ascii="Times New Roman" w:hAnsi="Times New Roman" w:cs="Times New Roman" w:eastAsiaTheme="minorEastAsia"/>
          <w:szCs w:val="22"/>
          <w:highlight w:val="none"/>
          <w:u w:val="single"/>
          <w:lang w:val="en-US" w:eastAsia="zh-CN"/>
        </w:rPr>
      </w:pPr>
      <w:r>
        <w:rPr>
          <w:rFonts w:ascii="Times New Roman" w:hAnsi="Times New Roman" w:cs="Times New Roman"/>
          <w:szCs w:val="22"/>
          <w:highlight w:val="none"/>
        </w:rPr>
        <w:t xml:space="preserve">2.3 </w:t>
      </w:r>
      <w:r>
        <w:rPr>
          <w:rFonts w:hint="eastAsia" w:ascii="Times New Roman" w:hAnsi="Times New Roman" w:cs="Times New Roman"/>
          <w:szCs w:val="22"/>
          <w:highlight w:val="none"/>
        </w:rPr>
        <w:t>采购范围：</w:t>
      </w:r>
      <w:r>
        <w:rPr>
          <w:rFonts w:hint="eastAsia" w:ascii="Times New Roman" w:hAnsi="Times New Roman" w:cs="Times New Roman"/>
          <w:szCs w:val="22"/>
          <w:highlight w:val="none"/>
          <w:u w:val="single"/>
          <w:lang w:val="en-US" w:eastAsia="zh-CN"/>
        </w:rPr>
        <w:t xml:space="preserve">详见《采购需求及清单》 </w:t>
      </w:r>
    </w:p>
    <w:p w14:paraId="71B21EAA">
      <w:pPr>
        <w:snapToGrid w:val="0"/>
        <w:spacing w:line="500" w:lineRule="atLeast"/>
        <w:ind w:firstLine="420" w:firstLineChars="200"/>
        <w:rPr>
          <w:rFonts w:hint="default" w:ascii="Times New Roman" w:hAnsi="Times New Roman" w:cs="Times New Roman" w:eastAsiaTheme="minorEastAsia"/>
          <w:szCs w:val="22"/>
          <w:highlight w:val="none"/>
          <w:u w:val="single"/>
          <w:lang w:val="en-US" w:eastAsia="zh-CN"/>
        </w:rPr>
      </w:pPr>
      <w:r>
        <w:rPr>
          <w:rFonts w:hint="eastAsia" w:ascii="Times New Roman" w:hAnsi="Times New Roman" w:cs="Times New Roman"/>
          <w:szCs w:val="22"/>
          <w:highlight w:val="none"/>
        </w:rPr>
        <w:t xml:space="preserve">2.4 </w:t>
      </w:r>
      <w:r>
        <w:rPr>
          <w:rFonts w:ascii="Times New Roman" w:hAnsi="Times New Roman" w:cs="Times New Roman"/>
          <w:szCs w:val="22"/>
          <w:highlight w:val="none"/>
        </w:rPr>
        <w:t>合同包划分：</w:t>
      </w:r>
      <w:r>
        <w:rPr>
          <w:rFonts w:hint="eastAsia" w:ascii="Times New Roman" w:hAnsi="Times New Roman" w:cs="Times New Roman"/>
          <w:szCs w:val="22"/>
          <w:highlight w:val="none"/>
          <w:u w:val="single"/>
          <w:lang w:val="en-US" w:eastAsia="zh-CN"/>
        </w:rPr>
        <w:t xml:space="preserve">   /   </w:t>
      </w:r>
    </w:p>
    <w:p w14:paraId="229000D3">
      <w:pPr>
        <w:snapToGrid w:val="0"/>
        <w:spacing w:line="500" w:lineRule="atLeast"/>
        <w:ind w:firstLine="420" w:firstLineChars="200"/>
        <w:rPr>
          <w:rFonts w:hint="eastAsia" w:ascii="Times New Roman" w:hAnsi="Times New Roman" w:cs="Times New Roman" w:eastAsiaTheme="minorEastAsia"/>
          <w:color w:val="auto"/>
          <w:szCs w:val="22"/>
          <w:highlight w:val="none"/>
          <w:u w:val="single"/>
          <w:lang w:val="en-US" w:eastAsia="zh-CN"/>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最高限价：</w:t>
      </w:r>
      <w:bookmarkEnd w:id="18"/>
      <w:r>
        <w:rPr>
          <w:rFonts w:hint="eastAsia" w:ascii="宋体" w:hAnsi="宋体" w:eastAsia="宋体" w:cs="宋体"/>
          <w:color w:val="auto"/>
          <w:szCs w:val="22"/>
          <w:u w:val="single"/>
          <w:lang w:eastAsia="zh-CN"/>
        </w:rPr>
        <w:t>合同控制价</w:t>
      </w:r>
      <w:r>
        <w:rPr>
          <w:rFonts w:hint="eastAsia" w:ascii="宋体" w:hAnsi="宋体" w:eastAsia="宋体" w:cs="宋体"/>
          <w:color w:val="auto"/>
          <w:szCs w:val="22"/>
          <w:u w:val="single"/>
          <w:lang w:val="en-US" w:eastAsia="zh-CN"/>
        </w:rPr>
        <w:t>65万元</w:t>
      </w:r>
      <w:bookmarkStart w:id="19" w:name="_Hlk78369508"/>
      <w:r>
        <w:rPr>
          <w:rFonts w:hint="eastAsia" w:ascii="宋体" w:hAnsi="宋体" w:eastAsia="宋体" w:cs="宋体"/>
          <w:color w:val="auto"/>
          <w:szCs w:val="22"/>
          <w:u w:val="single"/>
          <w:lang w:val="en-US" w:eastAsia="zh-CN"/>
        </w:rPr>
        <w:t>，</w:t>
      </w:r>
      <w:r>
        <w:rPr>
          <w:rFonts w:hint="eastAsia" w:ascii="Times New Roman" w:hAnsi="Times New Roman" w:eastAsia="宋体" w:cs="Times New Roman"/>
          <w:color w:val="auto"/>
          <w:szCs w:val="22"/>
          <w:u w:val="single"/>
        </w:rPr>
        <w:t>供应商报价不得超过最高限价，否则作为废标处理</w:t>
      </w:r>
      <w:bookmarkEnd w:id="19"/>
      <w:r>
        <w:rPr>
          <w:rFonts w:hint="eastAsia" w:ascii="Times New Roman" w:hAnsi="Times New Roman"/>
          <w:u w:val="single"/>
          <w:lang w:val="en-US" w:eastAsia="zh-CN"/>
        </w:rPr>
        <w:t xml:space="preserve"> </w:t>
      </w:r>
    </w:p>
    <w:p w14:paraId="19580A8A">
      <w:pPr>
        <w:snapToGrid w:val="0"/>
        <w:spacing w:line="500" w:lineRule="atLeast"/>
        <w:ind w:firstLine="420" w:firstLineChars="200"/>
        <w:rPr>
          <w:rFonts w:hint="eastAsia" w:cs="宋体"/>
          <w:szCs w:val="21"/>
          <w:highlight w:val="none"/>
          <w:u w:val="single"/>
          <w:lang w:val="en-US" w:eastAsia="zh-CN"/>
        </w:rPr>
      </w:pPr>
      <w:r>
        <w:rPr>
          <w:rFonts w:ascii="Times New Roman" w:hAnsi="Times New Roman" w:cs="Times New Roman"/>
          <w:szCs w:val="22"/>
          <w:highlight w:val="none"/>
        </w:rPr>
        <w:t xml:space="preserve">2.6 </w:t>
      </w:r>
      <w:r>
        <w:rPr>
          <w:rFonts w:hint="eastAsia" w:asciiTheme="minorEastAsia" w:hAnsiTheme="minorEastAsia" w:eastAsiaTheme="minorEastAsia" w:cstheme="minorEastAsia"/>
          <w:szCs w:val="22"/>
          <w:highlight w:val="none"/>
        </w:rPr>
        <w:t>计划交货期：</w:t>
      </w:r>
      <w:r>
        <w:rPr>
          <w:rFonts w:hint="eastAsia" w:asciiTheme="minorEastAsia" w:hAnsiTheme="minorEastAsia" w:eastAsiaTheme="minorEastAsia" w:cstheme="minorEastAsia"/>
          <w:szCs w:val="21"/>
          <w:highlight w:val="none"/>
          <w:u w:val="single"/>
        </w:rPr>
        <w:t>合同签订之日起</w:t>
      </w:r>
      <w:r>
        <w:rPr>
          <w:rFonts w:hint="eastAsia" w:asciiTheme="minorEastAsia" w:hAnsiTheme="minorEastAsia" w:eastAsiaTheme="minorEastAsia" w:cstheme="minorEastAsia"/>
          <w:szCs w:val="21"/>
          <w:highlight w:val="none"/>
          <w:u w:val="single"/>
          <w:lang w:val="en-US" w:eastAsia="zh-CN"/>
        </w:rPr>
        <w:t>40</w:t>
      </w:r>
      <w:r>
        <w:rPr>
          <w:rFonts w:hint="eastAsia" w:asciiTheme="minorEastAsia" w:hAnsiTheme="minorEastAsia" w:eastAsiaTheme="minorEastAsia" w:cstheme="minorEastAsia"/>
          <w:szCs w:val="21"/>
          <w:highlight w:val="none"/>
          <w:u w:val="single"/>
        </w:rPr>
        <w:t>日</w:t>
      </w:r>
      <w:r>
        <w:rPr>
          <w:rFonts w:hint="eastAsia" w:asciiTheme="minorEastAsia" w:hAnsiTheme="minorEastAsia" w:eastAsiaTheme="minorEastAsia" w:cstheme="minorEastAsia"/>
          <w:szCs w:val="21"/>
          <w:highlight w:val="none"/>
          <w:u w:val="single"/>
          <w:lang w:val="en-US" w:eastAsia="zh-CN"/>
        </w:rPr>
        <w:t>内</w:t>
      </w:r>
      <w:r>
        <w:rPr>
          <w:rFonts w:hint="eastAsia" w:cs="宋体"/>
          <w:szCs w:val="21"/>
          <w:highlight w:val="none"/>
          <w:u w:val="single"/>
          <w:lang w:val="en-US" w:eastAsia="zh-CN"/>
        </w:rPr>
        <w:t xml:space="preserve"> </w:t>
      </w:r>
    </w:p>
    <w:p w14:paraId="6AE608C4">
      <w:pPr>
        <w:pStyle w:val="3"/>
        <w:numPr>
          <w:ilvl w:val="0"/>
          <w:numId w:val="0"/>
        </w:numPr>
        <w:snapToGrid w:val="0"/>
        <w:spacing w:before="120" w:after="120" w:line="560" w:lineRule="exact"/>
        <w:ind w:left="420"/>
        <w:rPr>
          <w:rFonts w:ascii="Times New Roman" w:hAnsi="Times New Roman" w:eastAsia="黑体" w:cs="Times New Roman"/>
          <w:bCs w:val="0"/>
          <w:sz w:val="22"/>
          <w:szCs w:val="15"/>
        </w:rPr>
      </w:pPr>
      <w:bookmarkStart w:id="20" w:name="_Toc29516_WPSOffice_Level2"/>
      <w:bookmarkStart w:id="21" w:name="_Toc31673_WPSOffice_Level2"/>
      <w:bookmarkStart w:id="22" w:name="_Toc3714"/>
      <w:bookmarkStart w:id="23" w:name="_Toc22379_WPSOffice_Level2"/>
      <w:bookmarkStart w:id="24" w:name="_Toc525632587"/>
      <w:bookmarkStart w:id="25" w:name="_Toc1622_WPSOffice_Level2"/>
      <w:bookmarkStart w:id="26" w:name="_Toc6388"/>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20"/>
      <w:bookmarkEnd w:id="21"/>
      <w:bookmarkEnd w:id="22"/>
      <w:bookmarkEnd w:id="23"/>
      <w:bookmarkEnd w:id="24"/>
      <w:bookmarkEnd w:id="25"/>
      <w:bookmarkEnd w:id="26"/>
      <w:r>
        <w:rPr>
          <w:rFonts w:hint="eastAsia" w:ascii="Times New Roman" w:hAnsi="Times New Roman" w:eastAsia="黑体" w:cs="Times New Roman"/>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bookmarkStart w:id="27" w:name="_Toc4751"/>
      <w:bookmarkStart w:id="28" w:name="_Toc4109_WPSOffice_Level2"/>
      <w:bookmarkStart w:id="29" w:name="_Toc29452_WPSOffice_Level2"/>
      <w:bookmarkStart w:id="30" w:name="_Toc1994"/>
      <w:bookmarkStart w:id="31" w:name="_Toc25666_WPSOffice_Level2"/>
      <w:bookmarkStart w:id="32" w:name="_Toc525632588"/>
      <w:bookmarkStart w:id="33" w:name="_Toc2996_WPSOffice_Level2"/>
      <w:r>
        <w:rPr>
          <w:rFonts w:hint="eastAsia" w:ascii="宋体" w:hAnsi="宋体" w:eastAsia="宋体" w:cs="宋体"/>
          <w:szCs w:val="22"/>
        </w:rPr>
        <w:t>3.1 本次采购要求供应商须同时具备：</w:t>
      </w:r>
    </w:p>
    <w:p w14:paraId="107A8347">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（1）资质最低要求：</w:t>
      </w:r>
    </w:p>
    <w:p w14:paraId="7E028104">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①供应商应具备独立法人资格，持有有效的营业执照；</w:t>
      </w:r>
    </w:p>
    <w:p w14:paraId="1C127E8F">
      <w:pPr>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jc w:val="left"/>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2"/>
          <w:lang w:val="en-US" w:eastAsia="zh-CN" w:bidi="ar-SA"/>
        </w:rPr>
        <w:t>（2）</w:t>
      </w:r>
      <w:r>
        <w:rPr>
          <w:rFonts w:hint="eastAsia" w:ascii="宋体" w:hAnsi="宋体" w:eastAsia="宋体" w:cs="宋体"/>
          <w:kern w:val="0"/>
          <w:sz w:val="21"/>
          <w:szCs w:val="21"/>
          <w:shd w:val="clear" w:color="auto" w:fill="FFFFFF"/>
          <w:lang w:val="en-US" w:eastAsia="zh-CN" w:bidi="ar-SA"/>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FF0000"/>
          <w:szCs w:val="22"/>
          <w:highlight w:val="none"/>
          <w:lang w:eastAsia="zh-CN"/>
        </w:rPr>
      </w:pPr>
      <w:r>
        <w:rPr>
          <w:rFonts w:hint="eastAsia" w:ascii="宋体" w:hAnsi="宋体" w:eastAsia="宋体" w:cs="宋体"/>
          <w:color w:val="auto"/>
          <w:szCs w:val="22"/>
          <w:highlight w:val="none"/>
        </w:rPr>
        <w:t>近3年（指2021年</w:t>
      </w:r>
      <w:r>
        <w:rPr>
          <w:rFonts w:hint="eastAsia" w:ascii="宋体" w:hAnsi="宋体" w:eastAsia="宋体" w:cs="宋体"/>
          <w:color w:val="auto"/>
          <w:szCs w:val="22"/>
          <w:highlight w:val="none"/>
          <w:lang w:val="en-US" w:eastAsia="zh-CN"/>
        </w:rPr>
        <w:t>11</w:t>
      </w:r>
      <w:r>
        <w:rPr>
          <w:rFonts w:hint="eastAsia" w:ascii="宋体" w:hAnsi="宋体" w:eastAsia="宋体" w:cs="宋体"/>
          <w:color w:val="auto"/>
          <w:szCs w:val="22"/>
          <w:highlight w:val="none"/>
        </w:rPr>
        <w:t>月1日至投标文件递交截止时间</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rPr>
        <w:t>以合同签订时间为准），具备</w:t>
      </w:r>
      <w:r>
        <w:rPr>
          <w:rFonts w:hint="eastAsia" w:ascii="宋体" w:hAnsi="宋体" w:eastAsia="宋体" w:cs="宋体"/>
          <w:color w:val="auto"/>
          <w:szCs w:val="22"/>
          <w:highlight w:val="none"/>
          <w:lang w:eastAsia="zh-CN"/>
        </w:rPr>
        <w:t>类似</w:t>
      </w:r>
      <w:r>
        <w:rPr>
          <w:rFonts w:hint="eastAsia" w:ascii="宋体" w:hAnsi="宋体" w:eastAsia="宋体" w:cs="宋体"/>
          <w:color w:val="auto"/>
          <w:szCs w:val="22"/>
          <w:highlight w:val="none"/>
          <w:lang w:val="en-US" w:eastAsia="zh-CN"/>
        </w:rPr>
        <w:t>设备</w:t>
      </w:r>
      <w:r>
        <w:rPr>
          <w:rFonts w:hint="eastAsia" w:ascii="宋体" w:hAnsi="宋体" w:eastAsia="宋体" w:cs="宋体"/>
          <w:color w:val="auto"/>
          <w:szCs w:val="22"/>
          <w:highlight w:val="none"/>
        </w:rPr>
        <w:t>的供货业绩</w:t>
      </w:r>
      <w:r>
        <w:rPr>
          <w:rFonts w:hint="eastAsia" w:ascii="Times New Roman" w:hAnsi="Times New Roman" w:cs="Times New Roman"/>
          <w:szCs w:val="22"/>
        </w:rPr>
        <w:t>（业绩证明材料须提供合同扫描件，如不能体现签订时间、</w:t>
      </w:r>
      <w:r>
        <w:rPr>
          <w:rFonts w:hint="eastAsia" w:ascii="Times New Roman" w:hAnsi="Times New Roman" w:cs="Times New Roman"/>
          <w:szCs w:val="22"/>
          <w:lang w:val="en-US" w:eastAsia="zh-CN"/>
        </w:rPr>
        <w:t>合同金额</w:t>
      </w:r>
      <w:r>
        <w:rPr>
          <w:rFonts w:hint="eastAsia" w:ascii="Times New Roman" w:hAnsi="Times New Roman" w:cs="Times New Roman"/>
          <w:szCs w:val="22"/>
        </w:rPr>
        <w:t>等关键评审信息的，须另附业主证明材料，业绩时间以合同签订日期为准）</w:t>
      </w:r>
      <w:r>
        <w:rPr>
          <w:rFonts w:hint="eastAsia" w:ascii="宋体" w:hAnsi="宋体" w:eastAsia="宋体" w:cs="宋体"/>
          <w:color w:val="auto"/>
          <w:szCs w:val="22"/>
          <w:highlight w:val="none"/>
          <w:lang w:eastAsia="zh-CN"/>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rPr>
      </w:pPr>
      <w:r>
        <w:rPr>
          <w:rFonts w:hint="eastAsia" w:ascii="宋体" w:hAnsi="宋体" w:eastAsia="宋体" w:cs="宋体"/>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⑤在近三年内（自响应文件递交截止之日向前追溯3年）供应商或其法定代表人未有行贿犯罪行为；</w:t>
      </w:r>
    </w:p>
    <w:p w14:paraId="5C1383DD">
      <w:pPr>
        <w:pStyle w:val="14"/>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 w:val="18"/>
          <w:szCs w:val="21"/>
        </w:rPr>
      </w:pPr>
      <w:r>
        <w:rPr>
          <w:rFonts w:hint="eastAsia" w:ascii="宋体" w:hAnsi="宋体" w:eastAsia="宋体" w:cs="宋体"/>
          <w:szCs w:val="22"/>
        </w:rPr>
        <w:t>3.2 联合体：本次采购不接受联合体报价。</w:t>
      </w:r>
    </w:p>
    <w:p w14:paraId="5921CAF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3.3 单位负责人为同一人或者存在控股、管理关系的不同单位，不得同时参加同一合同包报价，否则相关响应文件均无效。</w:t>
      </w:r>
    </w:p>
    <w:bookmarkEnd w:id="27"/>
    <w:bookmarkEnd w:id="28"/>
    <w:bookmarkEnd w:id="29"/>
    <w:bookmarkEnd w:id="30"/>
    <w:bookmarkEnd w:id="31"/>
    <w:bookmarkEnd w:id="32"/>
    <w:bookmarkEnd w:id="33"/>
    <w:p w14:paraId="06C4BDF9">
      <w:pPr>
        <w:keepNext/>
        <w:keepLines/>
        <w:widowControl w:val="0"/>
        <w:numPr>
          <w:ilvl w:val="0"/>
          <w:numId w:val="2"/>
        </w:numPr>
        <w:snapToGrid w:val="0"/>
        <w:spacing w:before="120" w:after="120" w:line="560" w:lineRule="exact"/>
        <w:ind w:firstLine="403"/>
        <w:jc w:val="both"/>
        <w:outlineLvl w:val="1"/>
        <w:rPr>
          <w:rFonts w:hint="eastAsia" w:ascii="宋体" w:hAnsi="宋体" w:eastAsia="宋体" w:cs="宋体"/>
          <w:b w:val="0"/>
          <w:bCs w:val="0"/>
          <w:strike w:val="0"/>
          <w:dstrike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bCs w:val="0"/>
          <w:kern w:val="2"/>
          <w:sz w:val="22"/>
          <w:szCs w:val="15"/>
          <w:lang w:val="en-US" w:eastAsia="zh-CN" w:bidi="ar-SA"/>
        </w:rPr>
        <w:t>询比文件的获取</w:t>
      </w:r>
      <w:bookmarkStart w:id="34" w:name="_Toc726"/>
      <w:bookmarkStart w:id="35" w:name="_Toc525632589"/>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宋体" w:hAnsi="宋体" w:eastAsia="宋体" w:cs="宋体"/>
          <w:b w:val="0"/>
          <w:bCs w:val="0"/>
          <w:strike w:val="0"/>
          <w:dstrike w:val="0"/>
          <w:color w:val="auto"/>
          <w:kern w:val="2"/>
          <w:sz w:val="21"/>
          <w:szCs w:val="21"/>
          <w:highlight w:val="green"/>
          <w:lang w:val="en-US" w:eastAsia="zh-CN" w:bidi="ar-SA"/>
        </w:rPr>
      </w:pPr>
      <w:r>
        <w:rPr>
          <w:rFonts w:hint="eastAsia" w:ascii="宋体" w:hAnsi="宋体" w:eastAsia="宋体" w:cs="宋体"/>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keepNext/>
        <w:keepLines/>
        <w:widowControl w:val="0"/>
        <w:numPr>
          <w:ilvl w:val="0"/>
          <w:numId w:val="2"/>
        </w:numPr>
        <w:snapToGrid w:val="0"/>
        <w:spacing w:before="120" w:after="120" w:line="560" w:lineRule="exact"/>
        <w:ind w:firstLine="403"/>
        <w:jc w:val="both"/>
        <w:outlineLvl w:val="1"/>
        <w:rPr>
          <w:rFonts w:hint="eastAsia" w:ascii="宋体" w:hAnsi="宋体" w:eastAsia="宋体" w:cs="宋体"/>
          <w:b/>
          <w:bCs w:val="0"/>
          <w:kern w:val="2"/>
          <w:sz w:val="22"/>
          <w:szCs w:val="15"/>
          <w:lang w:val="en-US" w:eastAsia="zh-CN" w:bidi="ar-SA"/>
        </w:rPr>
      </w:pPr>
      <w:r>
        <w:rPr>
          <w:rFonts w:hint="eastAsia" w:ascii="宋体" w:hAnsi="宋体" w:eastAsia="宋体" w:cs="宋体"/>
          <w:b/>
          <w:bCs w:val="0"/>
          <w:kern w:val="2"/>
          <w:sz w:val="22"/>
          <w:szCs w:val="15"/>
          <w:lang w:val="en-US" w:eastAsia="zh-CN" w:bidi="ar-SA"/>
        </w:rPr>
        <w:t>响应文件的递交</w:t>
      </w:r>
      <w:bookmarkEnd w:id="34"/>
      <w:bookmarkEnd w:id="35"/>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auto"/>
          <w:szCs w:val="22"/>
          <w:highlight w:val="none"/>
        </w:rPr>
        <w:t>响应文件递交的截止时间为</w:t>
      </w:r>
      <w:r>
        <w:rPr>
          <w:rFonts w:hint="eastAsia" w:ascii="宋体" w:hAnsi="宋体" w:eastAsia="宋体" w:cs="宋体"/>
          <w:color w:val="auto"/>
          <w:szCs w:val="22"/>
          <w:highlight w:val="none"/>
          <w:u w:val="single"/>
        </w:rPr>
        <w:t>202</w:t>
      </w:r>
      <w:r>
        <w:rPr>
          <w:rFonts w:hint="eastAsia" w:ascii="宋体" w:hAnsi="宋体" w:eastAsia="宋体" w:cs="宋体"/>
          <w:color w:val="auto"/>
          <w:szCs w:val="22"/>
          <w:highlight w:val="none"/>
          <w:u w:val="single"/>
          <w:lang w:val="en-US" w:eastAsia="zh-CN"/>
        </w:rPr>
        <w:t>4</w:t>
      </w:r>
      <w:r>
        <w:rPr>
          <w:rFonts w:hint="eastAsia" w:ascii="宋体" w:hAnsi="宋体" w:eastAsia="宋体" w:cs="宋体"/>
          <w:color w:val="auto"/>
          <w:szCs w:val="22"/>
          <w:highlight w:val="none"/>
        </w:rPr>
        <w:t>年</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12</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rPr>
        <w:t>月</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 xml:space="preserve">4 </w:t>
      </w:r>
      <w:r>
        <w:rPr>
          <w:rFonts w:hint="eastAsia" w:ascii="宋体" w:hAnsi="宋体" w:eastAsia="宋体" w:cs="宋体"/>
          <w:color w:val="auto"/>
          <w:szCs w:val="22"/>
          <w:highlight w:val="none"/>
        </w:rPr>
        <w:t>日</w:t>
      </w:r>
      <w:r>
        <w:rPr>
          <w:rFonts w:hint="eastAsia" w:ascii="宋体" w:hAnsi="宋体" w:eastAsia="宋体" w:cs="宋体"/>
          <w:color w:val="auto"/>
          <w:szCs w:val="22"/>
          <w:highlight w:val="none"/>
          <w:u w:val="single"/>
          <w:lang w:val="en-US" w:eastAsia="zh-CN"/>
        </w:rPr>
        <w:t xml:space="preserve"> 10 </w:t>
      </w:r>
      <w:r>
        <w:rPr>
          <w:rFonts w:hint="eastAsia" w:ascii="宋体" w:hAnsi="宋体" w:eastAsia="宋体" w:cs="宋体"/>
          <w:color w:val="auto"/>
          <w:szCs w:val="22"/>
          <w:highlight w:val="none"/>
        </w:rPr>
        <w:t>时</w:t>
      </w:r>
      <w:r>
        <w:rPr>
          <w:rFonts w:hint="eastAsia" w:ascii="宋体" w:hAnsi="宋体" w:eastAsia="宋体" w:cs="宋体"/>
          <w:color w:val="auto"/>
          <w:szCs w:val="22"/>
          <w:highlight w:val="none"/>
          <w:u w:val="single"/>
          <w:lang w:val="en-US" w:eastAsia="zh-CN"/>
        </w:rPr>
        <w:t xml:space="preserve"> 00</w:t>
      </w:r>
      <w:r>
        <w:rPr>
          <w:rFonts w:hint="eastAsia" w:ascii="宋体" w:hAnsi="宋体" w:eastAsia="宋体" w:cs="宋体"/>
          <w:color w:val="auto"/>
          <w:szCs w:val="22"/>
          <w:highlight w:val="none"/>
        </w:rPr>
        <w:t>分，</w:t>
      </w:r>
      <w:r>
        <w:rPr>
          <w:rFonts w:hint="eastAsia" w:ascii="宋体" w:hAnsi="宋体" w:eastAsia="宋体" w:cs="宋体"/>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宋体" w:hAnsi="宋体" w:eastAsia="宋体" w:cs="宋体"/>
          <w:color w:val="000000" w:themeColor="text1"/>
          <w:szCs w:val="22"/>
          <w:highlight w:val="none"/>
          <w:u w:val="single"/>
          <w14:textFill>
            <w14:solidFill>
              <w14:schemeClr w14:val="tx1"/>
            </w14:solidFill>
          </w14:textFill>
        </w:rPr>
        <w:t>合肥市胜利路35号，交通饭店三楼汽车销售有限公司</w:t>
      </w:r>
      <w:r>
        <w:rPr>
          <w:rFonts w:hint="eastAsia" w:ascii="宋体" w:hAnsi="宋体" w:eastAsia="宋体" w:cs="宋体"/>
          <w:color w:val="000000" w:themeColor="text1"/>
          <w:szCs w:val="22"/>
          <w:highlight w:val="none"/>
          <w14:textFill>
            <w14:solidFill>
              <w14:schemeClr w14:val="tx1"/>
            </w14:solidFill>
          </w14:textFill>
        </w:rPr>
        <w:t>（地点）。</w:t>
      </w:r>
    </w:p>
    <w:p w14:paraId="19100C98">
      <w:pPr>
        <w:keepNext/>
        <w:keepLines/>
        <w:widowControl w:val="0"/>
        <w:numPr>
          <w:ilvl w:val="0"/>
          <w:numId w:val="2"/>
        </w:numPr>
        <w:snapToGrid w:val="0"/>
        <w:spacing w:before="120" w:after="120" w:line="560" w:lineRule="exact"/>
        <w:ind w:firstLine="403"/>
        <w:jc w:val="both"/>
        <w:outlineLvl w:val="1"/>
        <w:rPr>
          <w:rFonts w:hint="eastAsia" w:ascii="宋体" w:hAnsi="宋体" w:eastAsia="宋体" w:cs="宋体"/>
          <w:b/>
          <w:bCs w:val="0"/>
          <w:color w:val="000000" w:themeColor="text1"/>
          <w:kern w:val="2"/>
          <w:sz w:val="22"/>
          <w:szCs w:val="15"/>
          <w:lang w:val="en-US" w:eastAsia="zh-CN" w:bidi="ar-SA"/>
          <w14:textFill>
            <w14:solidFill>
              <w14:schemeClr w14:val="tx1"/>
            </w14:solidFill>
          </w14:textFill>
        </w:rPr>
      </w:pPr>
      <w:bookmarkStart w:id="36" w:name="_Toc22719"/>
      <w:bookmarkStart w:id="37" w:name="_Toc525632591"/>
      <w:r>
        <w:rPr>
          <w:rFonts w:hint="eastAsia" w:ascii="宋体" w:hAnsi="宋体" w:eastAsia="宋体" w:cs="宋体"/>
          <w:b/>
          <w:bCs w:val="0"/>
          <w:color w:val="000000" w:themeColor="text1"/>
          <w:kern w:val="2"/>
          <w:sz w:val="22"/>
          <w:szCs w:val="15"/>
          <w:lang w:val="en-US" w:eastAsia="zh-CN" w:bidi="ar-SA"/>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响应文件的递交截止时间到后，采购人将于</w:t>
      </w:r>
      <w:r>
        <w:rPr>
          <w:rFonts w:hint="eastAsia" w:ascii="宋体" w:hAnsi="宋体" w:eastAsia="宋体" w:cs="宋体"/>
          <w:color w:val="000000" w:themeColor="text1"/>
          <w:szCs w:val="22"/>
          <w:u w:val="single"/>
          <w14:textFill>
            <w14:solidFill>
              <w14:schemeClr w14:val="tx1"/>
            </w14:solidFill>
          </w14:textFill>
        </w:rPr>
        <w:t>交通饭店三楼会议室</w:t>
      </w:r>
      <w:r>
        <w:rPr>
          <w:rFonts w:hint="eastAsia" w:ascii="宋体" w:hAnsi="宋体" w:eastAsia="宋体" w:cs="宋体"/>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keepNext/>
        <w:keepLines/>
        <w:widowControl w:val="0"/>
        <w:numPr>
          <w:ilvl w:val="0"/>
          <w:numId w:val="2"/>
        </w:numPr>
        <w:snapToGrid w:val="0"/>
        <w:spacing w:before="120" w:after="120" w:line="560" w:lineRule="exact"/>
        <w:ind w:firstLine="403"/>
        <w:jc w:val="both"/>
        <w:outlineLvl w:val="1"/>
        <w:rPr>
          <w:rFonts w:ascii="Times New Roman" w:hAnsi="Times New Roman" w:eastAsia="黑体" w:cs="Times New Roman"/>
          <w:b/>
          <w:bCs w:val="0"/>
          <w:kern w:val="2"/>
          <w:sz w:val="22"/>
          <w:szCs w:val="15"/>
          <w:lang w:val="en-US" w:eastAsia="zh-CN" w:bidi="ar-SA"/>
        </w:rPr>
      </w:pPr>
      <w:r>
        <w:rPr>
          <w:rFonts w:hint="eastAsia" w:ascii="Times New Roman" w:hAnsi="Times New Roman" w:eastAsia="黑体" w:cs="Times New Roman"/>
          <w:b/>
          <w:bCs w:val="0"/>
          <w:kern w:val="2"/>
          <w:sz w:val="22"/>
          <w:szCs w:val="15"/>
          <w:lang w:val="en-US" w:eastAsia="zh-CN" w:bidi="ar-SA"/>
        </w:rPr>
        <w:t>响应保证金</w:t>
      </w:r>
    </w:p>
    <w:p w14:paraId="2A63AE06">
      <w:pPr>
        <w:pStyle w:val="5"/>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ascii="Times New Roman" w:hAnsi="Times New Roman"/>
          <w:color w:val="auto"/>
          <w:highlight w:val="none"/>
        </w:rPr>
      </w:pPr>
      <w:r>
        <w:rPr>
          <w:rFonts w:hint="eastAsia" w:ascii="Times New Roman" w:hAnsi="Times New Roman"/>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color w:val="auto"/>
          <w:highlight w:val="none"/>
        </w:rPr>
      </w:pPr>
      <w:r>
        <w:rPr>
          <w:rFonts w:hint="eastAsia" w:ascii="Times New Roman" w:hAnsi="Times New Roman"/>
          <w:color w:val="auto"/>
          <w:highlight w:val="none"/>
        </w:rPr>
        <w:t>在202</w:t>
      </w:r>
      <w:r>
        <w:rPr>
          <w:rFonts w:hint="eastAsia" w:ascii="Times New Roman" w:hAnsi="Times New Roman"/>
          <w:color w:val="auto"/>
          <w:highlight w:val="none"/>
          <w:lang w:val="en-US" w:eastAsia="zh-CN"/>
        </w:rPr>
        <w:t>4</w:t>
      </w:r>
      <w:r>
        <w:rPr>
          <w:rFonts w:hint="eastAsia" w:ascii="Times New Roman" w:hAnsi="Times New Roman"/>
          <w:color w:val="auto"/>
          <w:highlight w:val="none"/>
        </w:rPr>
        <w:t>年</w:t>
      </w:r>
      <w:r>
        <w:rPr>
          <w:rFonts w:hint="eastAsia" w:ascii="Times New Roman" w:hAnsi="Times New Roman"/>
          <w:color w:val="auto"/>
          <w:highlight w:val="none"/>
          <w:lang w:val="en-US" w:eastAsia="zh-CN"/>
        </w:rPr>
        <w:t>12</w:t>
      </w:r>
      <w:r>
        <w:rPr>
          <w:rFonts w:hint="eastAsia" w:ascii="Times New Roman" w:hAnsi="Times New Roman"/>
          <w:color w:val="auto"/>
          <w:highlight w:val="none"/>
        </w:rPr>
        <w:t>月</w:t>
      </w:r>
      <w:r>
        <w:rPr>
          <w:rFonts w:hint="eastAsia" w:ascii="Times New Roman" w:hAnsi="Times New Roman"/>
          <w:color w:val="auto"/>
          <w:highlight w:val="none"/>
          <w:lang w:val="en-US" w:eastAsia="zh-CN"/>
        </w:rPr>
        <w:t>3</w:t>
      </w:r>
      <w:r>
        <w:rPr>
          <w:rFonts w:hint="eastAsia" w:ascii="Times New Roman" w:hAnsi="Times New Roman"/>
          <w:color w:val="auto"/>
          <w:highlight w:val="none"/>
        </w:rPr>
        <w:t>日15：00前，将响应报名表发送至</w:t>
      </w:r>
      <w:r>
        <w:rPr>
          <w:color w:val="auto"/>
          <w:highlight w:val="none"/>
        </w:rPr>
        <w:fldChar w:fldCharType="begin"/>
      </w:r>
      <w:r>
        <w:rPr>
          <w:color w:val="auto"/>
          <w:highlight w:val="none"/>
        </w:rPr>
        <w:instrText xml:space="preserve"> HYPERLINK "mailto:ahjyxs@163.com" </w:instrText>
      </w:r>
      <w:r>
        <w:rPr>
          <w:color w:val="auto"/>
          <w:highlight w:val="none"/>
        </w:rPr>
        <w:fldChar w:fldCharType="separate"/>
      </w:r>
      <w:r>
        <w:rPr>
          <w:rStyle w:val="21"/>
          <w:rFonts w:hint="eastAsia" w:ascii="Times New Roman" w:hAnsi="Times New Roman" w:cs="Times New Roman"/>
          <w:color w:val="auto"/>
          <w:szCs w:val="22"/>
          <w:highlight w:val="none"/>
        </w:rPr>
        <w:t>ahjyxs@163.com</w:t>
      </w:r>
      <w:r>
        <w:rPr>
          <w:rStyle w:val="21"/>
          <w:rFonts w:hint="eastAsia" w:ascii="Times New Roman" w:hAnsi="Times New Roman" w:cs="Times New Roman"/>
          <w:color w:val="auto"/>
          <w:szCs w:val="22"/>
          <w:highlight w:val="none"/>
        </w:rPr>
        <w:fldChar w:fldCharType="end"/>
      </w:r>
      <w:r>
        <w:rPr>
          <w:rFonts w:hint="eastAsia" w:ascii="Times New Roman" w:hAnsi="Times New Roman" w:cs="Times New Roman"/>
          <w:color w:val="auto"/>
          <w:szCs w:val="22"/>
          <w:highlight w:val="none"/>
        </w:rPr>
        <w:t>进行确认报名。</w:t>
      </w:r>
    </w:p>
    <w:p w14:paraId="78120A14">
      <w:pPr>
        <w:keepNext/>
        <w:keepLines/>
        <w:widowControl w:val="0"/>
        <w:numPr>
          <w:ilvl w:val="0"/>
          <w:numId w:val="2"/>
        </w:numPr>
        <w:snapToGrid w:val="0"/>
        <w:spacing w:before="120" w:after="120" w:line="560" w:lineRule="exact"/>
        <w:ind w:firstLine="403"/>
        <w:jc w:val="both"/>
        <w:outlineLvl w:val="1"/>
        <w:rPr>
          <w:rFonts w:ascii="Times New Roman" w:hAnsi="Times New Roman" w:eastAsia="黑体" w:cs="Times New Roman"/>
          <w:b/>
          <w:bCs w:val="0"/>
          <w:kern w:val="2"/>
          <w:sz w:val="22"/>
          <w:szCs w:val="15"/>
          <w:lang w:val="en-US" w:eastAsia="zh-CN" w:bidi="ar-SA"/>
        </w:rPr>
      </w:pPr>
      <w:r>
        <w:rPr>
          <w:rFonts w:ascii="Times New Roman" w:hAnsi="Times New Roman" w:eastAsia="黑体" w:cs="Times New Roman"/>
          <w:b/>
          <w:bCs w:val="0"/>
          <w:kern w:val="2"/>
          <w:sz w:val="22"/>
          <w:szCs w:val="15"/>
          <w:lang w:val="en-US" w:eastAsia="zh-CN" w:bidi="ar-SA"/>
        </w:rPr>
        <w:t>发布公告的媒介</w:t>
      </w:r>
    </w:p>
    <w:p w14:paraId="552E845F">
      <w:pPr>
        <w:snapToGrid w:val="0"/>
        <w:spacing w:line="560" w:lineRule="exact"/>
        <w:ind w:firstLine="420" w:firstLineChars="200"/>
        <w:rPr>
          <w:rFonts w:hint="eastAsia"/>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bookmarkEnd w:id="36"/>
    <w:bookmarkEnd w:id="37"/>
    <w:p w14:paraId="63605B3D">
      <w:pPr>
        <w:keepNext/>
        <w:keepLines/>
        <w:widowControl w:val="0"/>
        <w:numPr>
          <w:ilvl w:val="0"/>
          <w:numId w:val="2"/>
        </w:numPr>
        <w:snapToGrid w:val="0"/>
        <w:spacing w:before="120" w:after="120" w:line="560" w:lineRule="exact"/>
        <w:ind w:firstLine="403"/>
        <w:jc w:val="both"/>
        <w:outlineLvl w:val="1"/>
        <w:rPr>
          <w:rFonts w:hint="eastAsia" w:ascii="宋体" w:hAnsi="宋体" w:eastAsia="宋体" w:cs="宋体"/>
          <w:b/>
          <w:bCs w:val="0"/>
          <w:color w:val="000000" w:themeColor="text1"/>
          <w:kern w:val="2"/>
          <w:sz w:val="22"/>
          <w:szCs w:val="15"/>
          <w:lang w:val="en-US" w:eastAsia="zh-CN" w:bidi="ar-SA"/>
          <w14:textFill>
            <w14:solidFill>
              <w14:schemeClr w14:val="tx1"/>
            </w14:solidFill>
          </w14:textFill>
        </w:rPr>
      </w:pPr>
      <w:bookmarkStart w:id="38" w:name="_Toc26829"/>
      <w:bookmarkStart w:id="39" w:name="_Toc321_WPSOffice_Level2"/>
      <w:bookmarkStart w:id="40" w:name="_Toc14943_WPSOffice_Level2"/>
      <w:bookmarkStart w:id="41" w:name="_Toc28571_WPSOffice_Level2"/>
      <w:bookmarkStart w:id="42" w:name="_Toc525632592"/>
      <w:bookmarkStart w:id="43" w:name="_Toc8501"/>
      <w:bookmarkStart w:id="44" w:name="_Toc20572_WPSOffice_Level2"/>
      <w:r>
        <w:rPr>
          <w:rFonts w:hint="eastAsia" w:ascii="宋体" w:hAnsi="宋体" w:eastAsia="宋体" w:cs="宋体"/>
          <w:b/>
          <w:bCs w:val="0"/>
          <w:color w:val="000000" w:themeColor="text1"/>
          <w:kern w:val="2"/>
          <w:sz w:val="22"/>
          <w:szCs w:val="15"/>
          <w:lang w:val="en-US" w:eastAsia="zh-CN" w:bidi="ar-SA"/>
          <w14:textFill>
            <w14:solidFill>
              <w14:schemeClr w14:val="tx1"/>
            </w14:solidFill>
          </w14:textFill>
        </w:rPr>
        <w:t>采购人联系方式</w:t>
      </w:r>
      <w:bookmarkEnd w:id="38"/>
      <w:bookmarkEnd w:id="39"/>
      <w:bookmarkEnd w:id="40"/>
      <w:bookmarkEnd w:id="41"/>
      <w:bookmarkEnd w:id="42"/>
      <w:bookmarkEnd w:id="43"/>
      <w:bookmarkEnd w:id="44"/>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采购人：</w:t>
      </w:r>
      <w:r>
        <w:rPr>
          <w:rFonts w:hint="eastAsia" w:ascii="宋体" w:hAnsi="宋体" w:eastAsia="宋体" w:cs="宋体"/>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地</w:t>
      </w:r>
      <w:r>
        <w:rPr>
          <w:rFonts w:hint="eastAsia" w:ascii="宋体" w:hAnsi="宋体" w:eastAsia="宋体" w:cs="宋体"/>
          <w:color w:val="000000" w:themeColor="text1"/>
          <w:szCs w:val="22"/>
          <w:lang w:val="en-US" w:eastAsia="zh-CN"/>
          <w14:textFill>
            <w14:solidFill>
              <w14:schemeClr w14:val="tx1"/>
            </w14:solidFill>
          </w14:textFill>
        </w:rPr>
        <w:t xml:space="preserve">  </w:t>
      </w:r>
      <w:r>
        <w:rPr>
          <w:rFonts w:hint="eastAsia" w:ascii="宋体" w:hAnsi="宋体" w:eastAsia="宋体" w:cs="宋体"/>
          <w:color w:val="000000" w:themeColor="text1"/>
          <w:szCs w:val="22"/>
          <w14:textFill>
            <w14:solidFill>
              <w14:schemeClr w14:val="tx1"/>
            </w14:solidFill>
          </w14:textFill>
        </w:rPr>
        <w:t>址：</w:t>
      </w:r>
      <w:r>
        <w:rPr>
          <w:rFonts w:hint="eastAsia" w:ascii="宋体" w:hAnsi="宋体" w:eastAsia="宋体" w:cs="宋体"/>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邮政编码：</w:t>
      </w:r>
      <w:r>
        <w:rPr>
          <w:rFonts w:hint="eastAsia" w:ascii="宋体" w:hAnsi="宋体" w:eastAsia="宋体" w:cs="宋体"/>
          <w:color w:val="000000" w:themeColor="text1"/>
          <w:szCs w:val="22"/>
          <w:u w:val="single"/>
          <w14:textFill>
            <w14:solidFill>
              <w14:schemeClr w14:val="tx1"/>
            </w14:solidFill>
          </w14:textFill>
        </w:rPr>
        <w:t>230011</w:t>
      </w:r>
    </w:p>
    <w:p w14:paraId="076803CE">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lang w:eastAsia="zh-CN"/>
        </w:rPr>
      </w:pPr>
      <w:r>
        <w:rPr>
          <w:rFonts w:hint="eastAsia" w:ascii="宋体" w:hAnsi="宋体" w:eastAsia="宋体" w:cs="宋体"/>
          <w:color w:val="000000" w:themeColor="text1"/>
          <w:szCs w:val="22"/>
          <w14:textFill>
            <w14:solidFill>
              <w14:schemeClr w14:val="tx1"/>
            </w14:solidFill>
          </w14:textFill>
        </w:rPr>
        <w:t>联</w:t>
      </w:r>
      <w:r>
        <w:rPr>
          <w:rFonts w:hint="eastAsia" w:ascii="宋体" w:hAnsi="宋体" w:eastAsia="宋体" w:cs="宋体"/>
          <w:color w:val="auto"/>
          <w:szCs w:val="22"/>
        </w:rPr>
        <w:t>系人：</w:t>
      </w:r>
      <w:r>
        <w:rPr>
          <w:rFonts w:hint="eastAsia" w:ascii="宋体" w:hAnsi="宋体" w:eastAsia="宋体" w:cs="宋体"/>
          <w:color w:val="auto"/>
          <w:szCs w:val="22"/>
          <w:u w:val="single"/>
          <w:lang w:val="en-US" w:eastAsia="zh-CN"/>
        </w:rPr>
        <w:t>李莉</w:t>
      </w:r>
    </w:p>
    <w:p w14:paraId="7558B99C">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u w:val="single"/>
        </w:rPr>
      </w:pPr>
      <w:r>
        <w:rPr>
          <w:rFonts w:hint="eastAsia" w:ascii="宋体" w:hAnsi="宋体" w:eastAsia="宋体" w:cs="宋体"/>
          <w:color w:val="auto"/>
          <w:szCs w:val="22"/>
        </w:rPr>
        <w:t>电话：</w:t>
      </w:r>
      <w:r>
        <w:rPr>
          <w:rFonts w:hint="eastAsia" w:ascii="宋体" w:hAnsi="宋体" w:eastAsia="宋体" w:cs="宋体"/>
          <w:color w:val="auto"/>
          <w:szCs w:val="22"/>
          <w:u w:val="single"/>
          <w:lang w:val="en-US" w:eastAsia="zh-CN"/>
        </w:rPr>
        <w:t xml:space="preserve"> 13329048230</w:t>
      </w:r>
      <w:r>
        <w:rPr>
          <w:rFonts w:hint="eastAsia" w:ascii="宋体" w:hAnsi="宋体" w:eastAsia="宋体" w:cs="宋体"/>
          <w:color w:val="auto"/>
          <w:szCs w:val="22"/>
          <w:u w:val="single"/>
        </w:rPr>
        <w:t xml:space="preserve">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电子邮箱：</w:t>
      </w:r>
      <w:r>
        <w:rPr>
          <w:rFonts w:hint="eastAsia" w:ascii="宋体" w:hAnsi="宋体" w:eastAsia="宋体" w:cs="宋体"/>
          <w:color w:val="000000" w:themeColor="text1"/>
          <w:szCs w:val="22"/>
          <w:u w:val="single"/>
          <w14:textFill>
            <w14:solidFill>
              <w14:schemeClr w14:val="tx1"/>
            </w14:solidFill>
          </w14:textFill>
        </w:rPr>
        <w:t>ahjyxs@163.com</w:t>
      </w:r>
    </w:p>
    <w:p w14:paraId="6840E10F">
      <w:pPr>
        <w:widowControl w:val="0"/>
        <w:autoSpaceDE w:val="0"/>
        <w:autoSpaceDN w:val="0"/>
        <w:jc w:val="center"/>
        <w:rPr>
          <w:rFonts w:hint="eastAsia" w:ascii="宋体" w:hAnsi="宋体" w:eastAsia="宋体" w:cs="宋体"/>
          <w:color w:val="000000" w:themeColor="text1"/>
          <w:sz w:val="21"/>
          <w:szCs w:val="22"/>
          <w:lang w:val="en-US" w:eastAsia="zh-CN" w:bidi="ar-SA"/>
          <w14:textFill>
            <w14:solidFill>
              <w14:schemeClr w14:val="tx1"/>
            </w14:solidFill>
          </w14:textFill>
        </w:rPr>
      </w:pPr>
    </w:p>
    <w:p w14:paraId="0D2E56A0">
      <w:pPr>
        <w:widowControl w:val="0"/>
        <w:autoSpaceDE w:val="0"/>
        <w:autoSpaceDN w:val="0"/>
        <w:jc w:val="center"/>
        <w:rPr>
          <w:rFonts w:hint="eastAsia" w:ascii="宋体" w:hAnsi="宋体" w:eastAsia="宋体" w:cs="宋体"/>
          <w:color w:val="000000" w:themeColor="text1"/>
          <w:sz w:val="21"/>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2"/>
          <w:lang w:val="en-US" w:eastAsia="zh-CN" w:bidi="ar-SA"/>
          <w14:textFill>
            <w14:solidFill>
              <w14:schemeClr w14:val="tx1"/>
            </w14:solidFill>
          </w14:textFill>
        </w:rPr>
        <w:t xml:space="preserve">                                                  </w:t>
      </w:r>
      <w:r>
        <w:rPr>
          <w:rFonts w:hint="eastAsia" w:ascii="宋体" w:hAnsi="宋体" w:eastAsia="宋体" w:cs="宋体"/>
          <w:color w:val="000000" w:themeColor="text1"/>
          <w:sz w:val="21"/>
          <w:szCs w:val="22"/>
          <w:highlight w:val="none"/>
          <w:lang w:val="en-US" w:eastAsia="zh-CN" w:bidi="ar-SA"/>
          <w14:textFill>
            <w14:solidFill>
              <w14:schemeClr w14:val="tx1"/>
            </w14:solidFill>
          </w14:textFill>
        </w:rPr>
        <w:t xml:space="preserve">    </w:t>
      </w:r>
    </w:p>
    <w:p w14:paraId="73BD1B46">
      <w:pPr>
        <w:widowControl w:val="0"/>
        <w:autoSpaceDE w:val="0"/>
        <w:autoSpaceDN w:val="0"/>
        <w:jc w:val="center"/>
        <w:rPr>
          <w:rFonts w:hint="eastAsia" w:ascii="宋体" w:hAnsi="宋体" w:eastAsia="宋体" w:cs="宋体"/>
          <w:color w:val="000000" w:themeColor="text1"/>
          <w:sz w:val="21"/>
          <w:szCs w:val="22"/>
          <w:highlight w:val="none"/>
          <w:lang w:val="en-US" w:eastAsia="zh-CN" w:bidi="ar-SA"/>
          <w14:textFill>
            <w14:solidFill>
              <w14:schemeClr w14:val="tx1"/>
            </w14:solidFill>
          </w14:textFill>
        </w:rPr>
      </w:pPr>
    </w:p>
    <w:p w14:paraId="791E2AA0">
      <w:pPr>
        <w:widowControl w:val="0"/>
        <w:autoSpaceDE w:val="0"/>
        <w:autoSpaceDN w:val="0"/>
        <w:jc w:val="right"/>
        <w:rPr>
          <w:rFonts w:hint="eastAsia" w:ascii="宋体" w:hAnsi="宋体" w:eastAsia="宋体" w:cs="宋体"/>
          <w:color w:val="000000" w:themeColor="text1"/>
          <w:sz w:val="24"/>
          <w:szCs w:val="28"/>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2"/>
          <w:highlight w:val="none"/>
          <w:lang w:val="en-US" w:eastAsia="zh-CN" w:bidi="ar-SA"/>
          <w14:textFill>
            <w14:solidFill>
              <w14:schemeClr w14:val="tx1"/>
            </w14:solidFill>
          </w14:textFill>
        </w:rPr>
        <w:t xml:space="preserve"> 2024 年 11 月 27 日</w:t>
      </w:r>
    </w:p>
    <w:p w14:paraId="267BB8D7">
      <w:pP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p>
    <w:p w14:paraId="4BBFA2AE">
      <w:pPr>
        <w:widowControl/>
        <w:jc w:val="center"/>
        <w:rPr>
          <w:b/>
          <w:sz w:val="36"/>
          <w:szCs w:val="36"/>
        </w:rPr>
      </w:pPr>
      <w:r>
        <w:rPr>
          <w:rFonts w:hint="eastAsia"/>
          <w:b/>
          <w:sz w:val="36"/>
          <w:szCs w:val="36"/>
        </w:rPr>
        <w:t>响 应 报 名 表</w:t>
      </w:r>
    </w:p>
    <w:p w14:paraId="1B63F737">
      <w:pPr>
        <w:pStyle w:val="5"/>
      </w:pPr>
    </w:p>
    <w:p w14:paraId="4C33BDF9">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4075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F637BA3">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5C434F29">
            <w:pPr>
              <w:snapToGrid w:val="0"/>
              <w:spacing w:line="380" w:lineRule="exact"/>
              <w:jc w:val="center"/>
              <w:rPr>
                <w:rFonts w:ascii="宋体" w:hAnsi="宋体" w:eastAsia="宋体" w:cs="宋体"/>
                <w:bCs/>
                <w:szCs w:val="21"/>
              </w:rPr>
            </w:pPr>
          </w:p>
        </w:tc>
      </w:tr>
      <w:tr w14:paraId="177A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1CEB5293">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1F5B7490">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75487B3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52F0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CE3CCB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188371A1">
            <w:pPr>
              <w:spacing w:line="360" w:lineRule="exact"/>
              <w:rPr>
                <w:rFonts w:ascii="宋体" w:hAnsi="宋体" w:eastAsia="宋体" w:cs="宋体"/>
                <w:bCs/>
                <w:szCs w:val="21"/>
              </w:rPr>
            </w:pPr>
          </w:p>
        </w:tc>
      </w:tr>
      <w:tr w14:paraId="457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B29267B">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0552AB78">
            <w:pPr>
              <w:spacing w:line="360" w:lineRule="exact"/>
              <w:rPr>
                <w:rFonts w:ascii="宋体" w:hAnsi="宋体" w:eastAsia="宋体" w:cs="宋体"/>
                <w:bCs/>
                <w:szCs w:val="21"/>
              </w:rPr>
            </w:pPr>
          </w:p>
        </w:tc>
        <w:tc>
          <w:tcPr>
            <w:tcW w:w="1506" w:type="dxa"/>
            <w:vAlign w:val="center"/>
          </w:tcPr>
          <w:p w14:paraId="2C88B40D">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7E34426C">
            <w:pPr>
              <w:spacing w:line="360" w:lineRule="exact"/>
              <w:rPr>
                <w:rFonts w:ascii="宋体" w:hAnsi="宋体" w:eastAsia="宋体" w:cs="宋体"/>
                <w:bCs/>
                <w:szCs w:val="21"/>
              </w:rPr>
            </w:pPr>
          </w:p>
        </w:tc>
      </w:tr>
      <w:tr w14:paraId="4CF7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B88A658">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4FDAE01F">
            <w:pPr>
              <w:spacing w:line="360" w:lineRule="exact"/>
              <w:rPr>
                <w:rFonts w:ascii="宋体" w:hAnsi="宋体" w:eastAsia="宋体" w:cs="宋体"/>
                <w:bCs/>
                <w:szCs w:val="21"/>
              </w:rPr>
            </w:pPr>
          </w:p>
        </w:tc>
        <w:tc>
          <w:tcPr>
            <w:tcW w:w="1506" w:type="dxa"/>
            <w:vAlign w:val="center"/>
          </w:tcPr>
          <w:p w14:paraId="13C181D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C183E1C">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7044DD75">
            <w:pPr>
              <w:spacing w:line="360" w:lineRule="exact"/>
              <w:rPr>
                <w:rFonts w:ascii="宋体" w:hAnsi="宋体" w:eastAsia="宋体" w:cs="宋体"/>
                <w:bCs/>
                <w:szCs w:val="21"/>
              </w:rPr>
            </w:pPr>
          </w:p>
        </w:tc>
      </w:tr>
      <w:tr w14:paraId="2ED2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FACDB1A">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B45C22A">
            <w:pPr>
              <w:spacing w:line="360" w:lineRule="exact"/>
              <w:rPr>
                <w:rFonts w:ascii="宋体" w:hAnsi="宋体" w:eastAsia="宋体" w:cs="宋体"/>
                <w:bCs/>
                <w:szCs w:val="21"/>
              </w:rPr>
            </w:pPr>
          </w:p>
        </w:tc>
        <w:tc>
          <w:tcPr>
            <w:tcW w:w="1506" w:type="dxa"/>
            <w:vAlign w:val="center"/>
          </w:tcPr>
          <w:p w14:paraId="0AB55F36">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154DFBDC">
            <w:pPr>
              <w:spacing w:line="360" w:lineRule="exact"/>
              <w:rPr>
                <w:rFonts w:ascii="宋体" w:hAnsi="宋体" w:eastAsia="宋体" w:cs="宋体"/>
                <w:bCs/>
                <w:szCs w:val="21"/>
              </w:rPr>
            </w:pPr>
          </w:p>
        </w:tc>
      </w:tr>
      <w:tr w14:paraId="47F0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8E81B64">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5AD57CDF">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2D4443D0">
            <w:pPr>
              <w:spacing w:line="360" w:lineRule="exact"/>
              <w:jc w:val="center"/>
              <w:rPr>
                <w:rFonts w:ascii="宋体" w:hAnsi="宋体" w:eastAsia="宋体" w:cs="宋体"/>
                <w:bCs/>
                <w:szCs w:val="21"/>
              </w:rPr>
            </w:pPr>
          </w:p>
        </w:tc>
      </w:tr>
      <w:tr w14:paraId="3B18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F5E5E9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26CFE14">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2917C999">
            <w:pPr>
              <w:spacing w:line="360" w:lineRule="exact"/>
              <w:jc w:val="center"/>
              <w:rPr>
                <w:rFonts w:ascii="宋体" w:hAnsi="宋体" w:eastAsia="宋体" w:cs="宋体"/>
                <w:bCs/>
                <w:szCs w:val="21"/>
              </w:rPr>
            </w:pPr>
          </w:p>
        </w:tc>
      </w:tr>
      <w:tr w14:paraId="367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DA14DCC">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264EFB10">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1"/>
                <w:rFonts w:hint="eastAsia" w:ascii="宋体" w:hAnsi="宋体" w:eastAsia="宋体" w:cs="宋体"/>
                <w:szCs w:val="21"/>
                <w:highlight w:val="green"/>
              </w:rPr>
              <w:t>ahjyxs@163.com</w:t>
            </w:r>
            <w:r>
              <w:rPr>
                <w:rStyle w:val="21"/>
                <w:rFonts w:hint="eastAsia" w:ascii="宋体" w:hAnsi="宋体" w:eastAsia="宋体" w:cs="宋体"/>
                <w:szCs w:val="21"/>
                <w:highlight w:val="green"/>
              </w:rPr>
              <w:fldChar w:fldCharType="end"/>
            </w:r>
            <w:r>
              <w:rPr>
                <w:rFonts w:hint="eastAsia" w:ascii="宋体" w:hAnsi="宋体" w:eastAsia="宋体" w:cs="宋体"/>
                <w:bCs/>
                <w:szCs w:val="21"/>
              </w:rPr>
              <w:t>：</w:t>
            </w:r>
          </w:p>
          <w:p w14:paraId="4E235F2E">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75E3E78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8B1186D">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58D5523">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1198477">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1A135E4">
      <w:pPr>
        <w:spacing w:line="560" w:lineRule="exact"/>
        <w:rPr>
          <w:rFonts w:ascii="宋体" w:hAnsi="宋体" w:eastAsia="宋体" w:cs="宋体"/>
          <w:sz w:val="24"/>
        </w:rPr>
      </w:pPr>
    </w:p>
    <w:p w14:paraId="2E514E95">
      <w:pPr>
        <w:pStyle w:val="23"/>
        <w:jc w:val="center"/>
        <w:rPr>
          <w:rFonts w:hint="default" w:ascii="Times New Roman" w:hAnsi="Times New Roman"/>
          <w:color w:val="auto"/>
          <w:sz w:val="21"/>
          <w:szCs w:val="22"/>
        </w:rPr>
      </w:pPr>
    </w:p>
    <w:p w14:paraId="6CF13F6D">
      <w:pPr>
        <w:pStyle w:val="23"/>
        <w:jc w:val="center"/>
        <w:rPr>
          <w:rFonts w:ascii="Times New Roman" w:hAnsi="Times New Roman"/>
          <w:color w:val="auto"/>
          <w:sz w:val="21"/>
          <w:szCs w:val="22"/>
        </w:rPr>
      </w:pPr>
      <w:r>
        <w:rPr>
          <w:rFonts w:ascii="Times New Roman" w:hAnsi="Times New Roman"/>
          <w:color w:val="auto"/>
          <w:sz w:val="21"/>
          <w:szCs w:val="22"/>
        </w:rPr>
        <w:t xml:space="preserve">                 </w:t>
      </w:r>
    </w:p>
    <w:p w14:paraId="2453B9D6">
      <w:pPr>
        <w:pStyle w:val="23"/>
        <w:jc w:val="center"/>
        <w:rPr>
          <w:rFonts w:ascii="Times New Roman" w:hAnsi="Times New Roman"/>
          <w:color w:val="auto"/>
          <w:sz w:val="21"/>
          <w:szCs w:val="22"/>
        </w:rPr>
      </w:pPr>
    </w:p>
    <w:p w14:paraId="2C81728F">
      <w:pPr>
        <w:pStyle w:val="23"/>
        <w:jc w:val="center"/>
        <w:rPr>
          <w:rFonts w:ascii="Times New Roman" w:hAnsi="Times New Roman"/>
          <w:color w:val="auto"/>
          <w:sz w:val="21"/>
          <w:szCs w:val="22"/>
        </w:rPr>
      </w:pPr>
    </w:p>
    <w:p w14:paraId="2CBC93C2">
      <w:pPr>
        <w:pStyle w:val="23"/>
        <w:jc w:val="center"/>
        <w:rPr>
          <w:rFonts w:ascii="Times New Roman" w:hAnsi="Times New Roman"/>
          <w:color w:val="auto"/>
          <w:sz w:val="21"/>
          <w:szCs w:val="22"/>
        </w:rPr>
      </w:pPr>
    </w:p>
    <w:p w14:paraId="3794C37B">
      <w:pPr>
        <w:pStyle w:val="23"/>
        <w:jc w:val="center"/>
        <w:rPr>
          <w:rFonts w:ascii="Times New Roman" w:hAnsi="Times New Roman"/>
          <w:color w:val="auto"/>
          <w:sz w:val="21"/>
          <w:szCs w:val="22"/>
          <w:highlight w:val="none"/>
        </w:rPr>
      </w:pPr>
    </w:p>
    <w:p w14:paraId="79F3803C">
      <w:pPr>
        <w:widowControl/>
        <w:spacing w:line="300" w:lineRule="atLeast"/>
        <w:ind w:firstLine="480"/>
        <w:jc w:val="center"/>
        <w:rPr>
          <w:rFonts w:hint="eastAsia" w:ascii="宋体" w:hAnsi="宋体" w:eastAsia="宋体" w:cs="宋体"/>
          <w:b/>
          <w:bCs/>
          <w:color w:val="000000"/>
          <w:kern w:val="0"/>
          <w:sz w:val="24"/>
          <w:highlight w:val="none"/>
        </w:rPr>
      </w:pPr>
    </w:p>
    <w:p w14:paraId="6352279F">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5"/>
        <w:tblW w:w="10081" w:type="dxa"/>
        <w:jc w:val="center"/>
        <w:tblCellSpacing w:w="15" w:type="dxa"/>
        <w:tblLayout w:type="fixed"/>
        <w:tblCellMar>
          <w:top w:w="0" w:type="dxa"/>
          <w:left w:w="0" w:type="dxa"/>
          <w:bottom w:w="0" w:type="dxa"/>
          <w:right w:w="0" w:type="dxa"/>
        </w:tblCellMar>
      </w:tblPr>
      <w:tblGrid>
        <w:gridCol w:w="10081"/>
      </w:tblGrid>
      <w:tr w14:paraId="498E417C">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79EBCE5">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E4202A1">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2C13E3C0">
            <w:pPr>
              <w:pStyle w:val="3"/>
              <w:numPr>
                <w:ilvl w:val="0"/>
                <w:numId w:val="0"/>
              </w:numPr>
              <w:ind w:left="417" w:leftChars="0"/>
              <w:rPr>
                <w:rFonts w:hint="eastAsia"/>
              </w:rPr>
            </w:pPr>
          </w:p>
          <w:p w14:paraId="7808537F">
            <w:pPr>
              <w:pStyle w:val="38"/>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55165050">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65FB681B">
            <w:pPr>
              <w:pStyle w:val="38"/>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09979061">
            <w:pPr>
              <w:pStyle w:val="38"/>
              <w:rPr>
                <w:rFonts w:hint="eastAsia"/>
                <w:highlight w:val="none"/>
              </w:rPr>
            </w:pPr>
          </w:p>
          <w:p w14:paraId="6002E8BE">
            <w:pPr>
              <w:rPr>
                <w:rFonts w:hint="eastAsia"/>
                <w:highlight w:val="none"/>
              </w:rPr>
            </w:pPr>
          </w:p>
          <w:p w14:paraId="13418109">
            <w:pPr>
              <w:pStyle w:val="38"/>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74A3C64F">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5CCAE341">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45F87B70">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34C19012">
      <w:pPr>
        <w:pStyle w:val="23"/>
        <w:jc w:val="center"/>
        <w:rPr>
          <w:rFonts w:ascii="Times New Roman" w:hAnsi="Times New Roman"/>
          <w:color w:val="auto"/>
          <w:sz w:val="21"/>
          <w:szCs w:val="22"/>
          <w:highlight w:val="none"/>
        </w:rPr>
      </w:pPr>
    </w:p>
    <w:p w14:paraId="7ACC614E">
      <w:pPr>
        <w:pStyle w:val="23"/>
        <w:jc w:val="center"/>
        <w:rPr>
          <w:rFonts w:ascii="Times New Roman" w:hAnsi="Times New Roman"/>
          <w:color w:val="auto"/>
          <w:sz w:val="21"/>
          <w:szCs w:val="22"/>
        </w:rPr>
      </w:pPr>
    </w:p>
    <w:p w14:paraId="143BF06D">
      <w:pPr>
        <w:pStyle w:val="23"/>
        <w:jc w:val="center"/>
        <w:rPr>
          <w:rFonts w:ascii="Times New Roman" w:hAnsi="Times New Roman"/>
          <w:color w:val="auto"/>
          <w:sz w:val="21"/>
          <w:szCs w:val="22"/>
        </w:rPr>
      </w:pPr>
    </w:p>
    <w:p w14:paraId="6587E94A">
      <w:pPr>
        <w:pStyle w:val="23"/>
        <w:jc w:val="center"/>
        <w:rPr>
          <w:rFonts w:ascii="Times New Roman" w:hAnsi="Times New Roman"/>
          <w:color w:val="auto"/>
          <w:sz w:val="21"/>
          <w:szCs w:val="22"/>
        </w:rPr>
      </w:pPr>
    </w:p>
    <w:p w14:paraId="3A786BFA">
      <w:pPr>
        <w:pStyle w:val="23"/>
        <w:jc w:val="center"/>
        <w:rPr>
          <w:rFonts w:ascii="Times New Roman" w:hAnsi="Times New Roman"/>
          <w:color w:val="auto"/>
          <w:sz w:val="21"/>
          <w:szCs w:val="22"/>
        </w:rPr>
      </w:pPr>
    </w:p>
    <w:p w14:paraId="3C388513">
      <w:pPr>
        <w:pStyle w:val="23"/>
        <w:jc w:val="center"/>
        <w:rPr>
          <w:rFonts w:ascii="Times New Roman" w:hAnsi="Times New Roman"/>
          <w:color w:val="auto"/>
          <w:sz w:val="21"/>
          <w:szCs w:val="22"/>
        </w:rPr>
      </w:pPr>
    </w:p>
    <w:p w14:paraId="17C58845">
      <w:pPr>
        <w:pStyle w:val="23"/>
        <w:jc w:val="center"/>
        <w:rPr>
          <w:rFonts w:ascii="Times New Roman" w:hAnsi="Times New Roman"/>
          <w:color w:val="auto"/>
          <w:sz w:val="21"/>
          <w:szCs w:val="22"/>
        </w:rPr>
      </w:pPr>
    </w:p>
    <w:p w14:paraId="0CE6376C">
      <w:pPr>
        <w:pStyle w:val="23"/>
        <w:jc w:val="center"/>
        <w:rPr>
          <w:rFonts w:ascii="Times New Roman" w:hAnsi="Times New Roman"/>
          <w:color w:val="auto"/>
          <w:sz w:val="21"/>
          <w:szCs w:val="22"/>
        </w:rPr>
      </w:pPr>
    </w:p>
    <w:p w14:paraId="25E373C9">
      <w:pPr>
        <w:pStyle w:val="23"/>
        <w:jc w:val="center"/>
        <w:rPr>
          <w:rFonts w:ascii="Times New Roman" w:hAnsi="Times New Roman"/>
          <w:color w:val="auto"/>
          <w:sz w:val="21"/>
          <w:szCs w:val="22"/>
        </w:rPr>
      </w:pPr>
    </w:p>
    <w:p w14:paraId="06FB3728">
      <w:pPr>
        <w:pStyle w:val="23"/>
        <w:jc w:val="center"/>
        <w:rPr>
          <w:rFonts w:ascii="Times New Roman" w:hAnsi="Times New Roman"/>
          <w:color w:val="auto"/>
          <w:sz w:val="21"/>
          <w:szCs w:val="22"/>
        </w:rPr>
      </w:pPr>
    </w:p>
    <w:p w14:paraId="0FCD28C4">
      <w:pPr>
        <w:pStyle w:val="23"/>
        <w:jc w:val="center"/>
        <w:rPr>
          <w:rFonts w:ascii="Times New Roman" w:hAnsi="Times New Roman"/>
          <w:color w:val="auto"/>
          <w:sz w:val="21"/>
          <w:szCs w:val="22"/>
        </w:rPr>
      </w:pPr>
    </w:p>
    <w:p w14:paraId="4B289710">
      <w:pPr>
        <w:pStyle w:val="23"/>
        <w:jc w:val="center"/>
        <w:rPr>
          <w:rFonts w:ascii="Times New Roman" w:hAnsi="Times New Roman"/>
          <w:color w:val="auto"/>
          <w:sz w:val="21"/>
          <w:szCs w:val="22"/>
        </w:rPr>
      </w:pPr>
    </w:p>
    <w:p w14:paraId="164A8699">
      <w:pPr>
        <w:pStyle w:val="23"/>
        <w:jc w:val="center"/>
        <w:rPr>
          <w:rFonts w:ascii="Times New Roman" w:hAnsi="Times New Roman"/>
          <w:color w:val="auto"/>
          <w:sz w:val="21"/>
          <w:szCs w:val="22"/>
        </w:rPr>
      </w:pPr>
    </w:p>
    <w:p w14:paraId="1FB47974">
      <w:pPr>
        <w:pStyle w:val="23"/>
        <w:jc w:val="center"/>
        <w:rPr>
          <w:rFonts w:ascii="Times New Roman" w:hAnsi="Times New Roman"/>
          <w:color w:val="auto"/>
          <w:sz w:val="21"/>
          <w:szCs w:val="22"/>
        </w:rPr>
      </w:pPr>
    </w:p>
    <w:p w14:paraId="321D2083">
      <w:pPr>
        <w:pStyle w:val="23"/>
        <w:jc w:val="center"/>
        <w:rPr>
          <w:rFonts w:ascii="Times New Roman" w:hAnsi="Times New Roman"/>
          <w:color w:val="auto"/>
          <w:sz w:val="21"/>
          <w:szCs w:val="22"/>
        </w:rPr>
      </w:pPr>
    </w:p>
    <w:p w14:paraId="732B5D9F">
      <w:pPr>
        <w:pStyle w:val="23"/>
        <w:jc w:val="both"/>
        <w:rPr>
          <w:rFonts w:ascii="Times New Roman" w:hAnsi="Times New Roman"/>
          <w:color w:val="auto"/>
          <w:sz w:val="21"/>
          <w:szCs w:val="22"/>
        </w:rPr>
      </w:pPr>
    </w:p>
    <w:p w14:paraId="03F3543C">
      <w:pPr>
        <w:pStyle w:val="23"/>
        <w:jc w:val="center"/>
        <w:rPr>
          <w:rFonts w:hint="default" w:ascii="Times New Roman" w:hAnsi="Times New Roman"/>
          <w:color w:val="auto"/>
          <w:szCs w:val="28"/>
        </w:rPr>
      </w:pPr>
      <w:r>
        <w:rPr>
          <w:rFonts w:ascii="Times New Roman" w:hAnsi="Times New Roman"/>
          <w:color w:val="auto"/>
          <w:sz w:val="21"/>
          <w:szCs w:val="22"/>
        </w:rPr>
        <w:t xml:space="preserve">                                    </w:t>
      </w:r>
    </w:p>
    <w:p w14:paraId="1726D30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ascii="Times New Roman" w:hAnsi="Times New Roman" w:eastAsia="宋体" w:cs="Times New Roman"/>
          <w:b/>
          <w:bCs/>
          <w:sz w:val="36"/>
          <w:szCs w:val="36"/>
        </w:rPr>
        <w:t>供应商须知</w:t>
      </w:r>
    </w:p>
    <w:p w14:paraId="346DA925">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FF1199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E8C4755">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专业</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有关标准生产和检验，确保产品质量。并且完全符合本采购项目规定的质量、规格和性能的要求，并保证产品是全新的、未使用的。</w:t>
      </w:r>
    </w:p>
    <w:p w14:paraId="781DD1D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2C66ED78">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71BD4A0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921D2C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674B91AE">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2C464A1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419BF3A0">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774817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25352BE9">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1922A6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BEB9C2E">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7140A77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7BB2F520">
      <w:pPr>
        <w:spacing w:line="440" w:lineRule="exact"/>
        <w:ind w:firstLine="420"/>
        <w:rPr>
          <w:rFonts w:ascii="Times New Roman" w:hAnsi="Times New Roman" w:cs="Times New Roman"/>
        </w:rPr>
      </w:pPr>
      <w:r>
        <w:rPr>
          <w:rFonts w:hint="eastAsia" w:ascii="Times New Roman" w:hAnsi="Times New Roman" w:cs="Times New Roman"/>
        </w:rPr>
        <w:t>不分包。</w:t>
      </w:r>
    </w:p>
    <w:p w14:paraId="50DE82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3C1FB7C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6CD07C0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FC5974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0417735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675B6924">
      <w:pPr>
        <w:spacing w:line="440" w:lineRule="exact"/>
        <w:ind w:firstLine="420"/>
        <w:rPr>
          <w:rFonts w:ascii="Times New Roman" w:hAnsi="Times New Roman" w:cs="Times New Roman"/>
        </w:rPr>
      </w:pPr>
      <w:r>
        <w:rPr>
          <w:rFonts w:ascii="Times New Roman" w:hAnsi="Times New Roman" w:cs="Times New Roman"/>
        </w:rPr>
        <w:t>本询比文件包括：</w:t>
      </w:r>
    </w:p>
    <w:p w14:paraId="015DC2A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3BDCEE6B">
      <w:pPr>
        <w:spacing w:line="440" w:lineRule="exact"/>
        <w:ind w:firstLine="420"/>
        <w:rPr>
          <w:rFonts w:ascii="Times New Roman" w:hAnsi="Times New Roman" w:cs="Times New Roman"/>
        </w:rPr>
      </w:pPr>
      <w:r>
        <w:rPr>
          <w:rFonts w:ascii="Times New Roman" w:hAnsi="Times New Roman" w:cs="Times New Roman"/>
        </w:rPr>
        <w:t>（2）供应商须知；</w:t>
      </w:r>
    </w:p>
    <w:p w14:paraId="5ACDDC10">
      <w:pPr>
        <w:spacing w:line="440" w:lineRule="exact"/>
        <w:ind w:firstLine="420"/>
        <w:rPr>
          <w:rFonts w:ascii="Times New Roman" w:hAnsi="Times New Roman" w:cs="Times New Roman"/>
        </w:rPr>
      </w:pPr>
      <w:r>
        <w:rPr>
          <w:rFonts w:ascii="Times New Roman" w:hAnsi="Times New Roman" w:cs="Times New Roman"/>
        </w:rPr>
        <w:t>（3）评审办法；</w:t>
      </w:r>
    </w:p>
    <w:p w14:paraId="22023DE0">
      <w:pPr>
        <w:spacing w:line="440" w:lineRule="exact"/>
        <w:ind w:firstLine="420"/>
        <w:rPr>
          <w:rFonts w:ascii="Times New Roman" w:hAnsi="Times New Roman" w:cs="Times New Roman"/>
        </w:rPr>
      </w:pPr>
      <w:r>
        <w:rPr>
          <w:rFonts w:ascii="Times New Roman" w:hAnsi="Times New Roman" w:cs="Times New Roman"/>
        </w:rPr>
        <w:t>（4）合同条款及格式；</w:t>
      </w:r>
    </w:p>
    <w:p w14:paraId="0D7C5CEE">
      <w:pPr>
        <w:spacing w:line="440" w:lineRule="exact"/>
        <w:ind w:firstLine="420"/>
        <w:rPr>
          <w:rFonts w:ascii="Times New Roman" w:hAnsi="Times New Roman" w:cs="Times New Roman"/>
        </w:rPr>
      </w:pPr>
      <w:r>
        <w:rPr>
          <w:rFonts w:ascii="Times New Roman" w:hAnsi="Times New Roman" w:cs="Times New Roman"/>
        </w:rPr>
        <w:t>（5）采购需求及清单；</w:t>
      </w:r>
    </w:p>
    <w:p w14:paraId="32A1034C">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1C1BA37C">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716DAC6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7E0007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A1C644D">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2CC16C87">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3FE3D0C">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5EAA1EF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0D95CD34">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172EF62D">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15E46258">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3548A792">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DCAA42E">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026ED95">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3B589F0F">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577805A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76DFBE65">
      <w:pPr>
        <w:spacing w:line="440" w:lineRule="exact"/>
        <w:ind w:firstLine="420"/>
      </w:pPr>
      <w:r>
        <w:rPr>
          <w:rFonts w:hint="eastAsia" w:ascii="Times New Roman" w:hAnsi="Times New Roman" w:cs="Times New Roman"/>
        </w:rPr>
        <w:t>（8）供货方案；</w:t>
      </w:r>
    </w:p>
    <w:p w14:paraId="1D6D87BC">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1F17B71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66237E27">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046D2B9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A3046E0">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4E2F7A5D">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0C7050FF">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693898FC">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3BE89EBA">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2、总价为设备生产、制造及保险、销售差价、供货、包装运输（运输至指定地点）、安装、调试、验收、取证、培训、技术服务、损耗费、附属材料费、售后服务、税金、质保期维护维修服务等全部内容报价。</w:t>
      </w:r>
    </w:p>
    <w:p w14:paraId="7CA191F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EC1847F">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2E1FA1D2">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763F6D1">
      <w:pPr>
        <w:keepNext/>
        <w:keepLines/>
        <w:spacing w:before="120" w:after="120" w:line="415" w:lineRule="auto"/>
        <w:outlineLvl w:val="2"/>
        <w:rPr>
          <w:rFonts w:ascii="Times New Roman" w:hAnsi="Times New Roman" w:eastAsia="黑体" w:cs="Times New Roman"/>
          <w:bCs/>
          <w:sz w:val="24"/>
          <w:szCs w:val="32"/>
        </w:rPr>
      </w:pPr>
      <w:bookmarkStart w:id="45" w:name="_Toc14201229"/>
      <w:bookmarkStart w:id="46" w:name="_Toc26656960"/>
      <w:r>
        <w:rPr>
          <w:rFonts w:ascii="Times New Roman" w:hAnsi="Times New Roman" w:eastAsia="黑体" w:cs="Times New Roman"/>
          <w:bCs/>
          <w:sz w:val="24"/>
          <w:szCs w:val="32"/>
        </w:rPr>
        <w:t>3.4</w:t>
      </w:r>
      <w:bookmarkEnd w:id="45"/>
      <w:bookmarkEnd w:id="46"/>
      <w:r>
        <w:rPr>
          <w:rFonts w:ascii="Times New Roman" w:hAnsi="Times New Roman" w:eastAsia="黑体" w:cs="Times New Roman"/>
          <w:bCs/>
          <w:sz w:val="24"/>
          <w:szCs w:val="32"/>
        </w:rPr>
        <w:t>响应保证金</w:t>
      </w:r>
    </w:p>
    <w:p w14:paraId="7241806F">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C61B53E">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F54F77C">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4699C10D">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19952B51">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47110D5C">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3BF540B9">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ED0B476">
      <w:pPr>
        <w:keepNext/>
        <w:keepLines/>
        <w:spacing w:before="120" w:after="120"/>
        <w:outlineLvl w:val="2"/>
        <w:rPr>
          <w:rFonts w:ascii="Times New Roman" w:hAnsi="Times New Roman" w:eastAsia="黑体" w:cs="Times New Roman"/>
          <w:bCs/>
          <w:sz w:val="24"/>
          <w:szCs w:val="32"/>
        </w:rPr>
      </w:pPr>
      <w:bookmarkStart w:id="47" w:name="_Toc14201230"/>
      <w:bookmarkStart w:id="48" w:name="_Toc26656961"/>
      <w:r>
        <w:rPr>
          <w:rFonts w:ascii="Times New Roman" w:hAnsi="Times New Roman" w:eastAsia="黑体" w:cs="Times New Roman"/>
          <w:bCs/>
          <w:sz w:val="24"/>
          <w:szCs w:val="32"/>
        </w:rPr>
        <w:t>3.5资格审查资料</w:t>
      </w:r>
      <w:bookmarkEnd w:id="47"/>
      <w:bookmarkEnd w:id="48"/>
    </w:p>
    <w:p w14:paraId="405EEBB7">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FD7B259">
      <w:pPr>
        <w:keepNext/>
        <w:keepLines/>
        <w:spacing w:before="120" w:after="120"/>
        <w:outlineLvl w:val="2"/>
        <w:rPr>
          <w:rFonts w:ascii="Times New Roman" w:hAnsi="Times New Roman" w:eastAsia="黑体" w:cs="Times New Roman"/>
          <w:bCs/>
          <w:sz w:val="24"/>
          <w:szCs w:val="32"/>
        </w:rPr>
      </w:pPr>
      <w:bookmarkStart w:id="49" w:name="_Toc14201232"/>
      <w:bookmarkStart w:id="50"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9"/>
      <w:bookmarkEnd w:id="50"/>
    </w:p>
    <w:p w14:paraId="11CC77DE">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67451219">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4F972D9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4327E9B6">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55926EA4">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409C3073">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p>
    <w:p w14:paraId="0347E1C8">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34421F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174BB3BB">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F76E5BE">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B883770">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项目</w:t>
      </w:r>
      <w:r>
        <w:rPr>
          <w:rFonts w:hint="eastAsia" w:ascii="宋体" w:hAnsi="宋体" w:eastAsia="宋体" w:cs="宋体"/>
          <w:u w:val="single"/>
        </w:rPr>
        <w:t>名称</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 xml:space="preserve">   第</w:t>
      </w:r>
      <w:r>
        <w:rPr>
          <w:rFonts w:hint="eastAsia" w:ascii="宋体" w:hAnsi="宋体" w:eastAsia="宋体" w:cs="宋体"/>
          <w:bCs/>
          <w:snapToGrid w:val="0"/>
          <w:kern w:val="0"/>
          <w:szCs w:val="21"/>
        </w:rPr>
        <w:t>合同包响应文件</w:t>
      </w:r>
    </w:p>
    <w:p w14:paraId="287E2CF5">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5C77D5A4">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3274125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6CA8AEBD">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5DFC4947">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597D2537">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0ABC5E02">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32AEC32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40734356">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0CB4882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65AD01B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41753906">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51DB44E4">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E896EA9">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2A90DBD2">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5D7A14EF">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511B4A9">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0CC08883">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600657C3">
      <w:pPr>
        <w:keepNext/>
        <w:keepLines/>
        <w:spacing w:before="156" w:beforeLines="50" w:after="156" w:afterLines="50"/>
        <w:outlineLvl w:val="1"/>
        <w:rPr>
          <w:rFonts w:ascii="Times New Roman" w:hAnsi="Times New Roman" w:eastAsia="黑体" w:cs="Times New Roman"/>
          <w:bCs/>
          <w:sz w:val="24"/>
          <w:szCs w:val="32"/>
        </w:rPr>
      </w:pPr>
      <w:bookmarkStart w:id="51" w:name="_Toc14201241"/>
      <w:bookmarkStart w:id="52" w:name="_Toc26656972"/>
      <w:bookmarkStart w:id="53" w:name="_Toc9067725"/>
      <w:r>
        <w:rPr>
          <w:rFonts w:ascii="Times New Roman" w:hAnsi="Times New Roman" w:eastAsia="黑体" w:cs="Times New Roman"/>
          <w:bCs/>
          <w:sz w:val="24"/>
          <w:szCs w:val="32"/>
        </w:rPr>
        <w:t>6. 评</w:t>
      </w:r>
      <w:bookmarkEnd w:id="51"/>
      <w:bookmarkEnd w:id="52"/>
      <w:bookmarkEnd w:id="53"/>
      <w:r>
        <w:rPr>
          <w:rFonts w:ascii="Times New Roman" w:hAnsi="Times New Roman" w:eastAsia="黑体" w:cs="Times New Roman"/>
          <w:bCs/>
          <w:sz w:val="24"/>
          <w:szCs w:val="32"/>
        </w:rPr>
        <w:t>审</w:t>
      </w:r>
    </w:p>
    <w:p w14:paraId="60862F99">
      <w:pPr>
        <w:keepNext/>
        <w:keepLines/>
        <w:spacing w:before="120" w:after="120"/>
        <w:outlineLvl w:val="2"/>
        <w:rPr>
          <w:rFonts w:ascii="Times New Roman" w:hAnsi="Times New Roman" w:eastAsia="黑体" w:cs="Times New Roman"/>
          <w:bCs/>
          <w:sz w:val="24"/>
          <w:szCs w:val="32"/>
        </w:rPr>
      </w:pPr>
      <w:bookmarkStart w:id="54" w:name="_Toc26656973"/>
      <w:bookmarkStart w:id="55" w:name="_Toc14201242"/>
      <w:r>
        <w:rPr>
          <w:rFonts w:ascii="Times New Roman" w:hAnsi="Times New Roman" w:eastAsia="黑体" w:cs="Times New Roman"/>
          <w:bCs/>
          <w:sz w:val="24"/>
          <w:szCs w:val="32"/>
        </w:rPr>
        <w:t>6.1</w:t>
      </w:r>
      <w:bookmarkEnd w:id="54"/>
      <w:bookmarkEnd w:id="55"/>
      <w:r>
        <w:rPr>
          <w:rFonts w:hint="eastAsia" w:ascii="Times New Roman" w:hAnsi="Times New Roman" w:eastAsia="黑体" w:cs="Times New Roman"/>
          <w:bCs/>
          <w:sz w:val="24"/>
          <w:szCs w:val="32"/>
        </w:rPr>
        <w:t>评审小组</w:t>
      </w:r>
    </w:p>
    <w:p w14:paraId="558D7E37">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3DED8B37">
      <w:pPr>
        <w:keepNext/>
        <w:keepLines/>
        <w:spacing w:before="120" w:after="120"/>
        <w:outlineLvl w:val="2"/>
        <w:rPr>
          <w:rFonts w:ascii="Times New Roman" w:hAnsi="Times New Roman" w:eastAsia="黑体" w:cs="Times New Roman"/>
          <w:bCs/>
          <w:sz w:val="24"/>
          <w:szCs w:val="32"/>
        </w:rPr>
      </w:pPr>
      <w:bookmarkStart w:id="56" w:name="_Toc14201244"/>
      <w:bookmarkStart w:id="57"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6"/>
      <w:bookmarkEnd w:id="57"/>
      <w:r>
        <w:rPr>
          <w:rFonts w:ascii="Times New Roman" w:hAnsi="Times New Roman" w:eastAsia="黑体" w:cs="Times New Roman"/>
          <w:bCs/>
          <w:sz w:val="24"/>
          <w:szCs w:val="32"/>
        </w:rPr>
        <w:t>审</w:t>
      </w:r>
    </w:p>
    <w:p w14:paraId="5CA1DDFB">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19C1946B">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10C3B2D4">
      <w:pPr>
        <w:keepNext/>
        <w:keepLines/>
        <w:spacing w:before="156" w:beforeLines="50" w:after="156" w:afterLines="50"/>
        <w:outlineLvl w:val="1"/>
        <w:rPr>
          <w:rFonts w:ascii="Times New Roman" w:hAnsi="Times New Roman" w:eastAsia="黑体" w:cs="Times New Roman"/>
          <w:bCs/>
          <w:sz w:val="24"/>
          <w:szCs w:val="32"/>
        </w:rPr>
      </w:pPr>
      <w:bookmarkStart w:id="58" w:name="_Toc9067726"/>
      <w:bookmarkStart w:id="59" w:name="_Toc14201245"/>
      <w:bookmarkStart w:id="60" w:name="_Toc26656976"/>
      <w:r>
        <w:rPr>
          <w:rFonts w:ascii="Times New Roman" w:hAnsi="Times New Roman" w:eastAsia="黑体" w:cs="Times New Roman"/>
          <w:bCs/>
          <w:sz w:val="24"/>
          <w:szCs w:val="32"/>
        </w:rPr>
        <w:t>7. 合同授予</w:t>
      </w:r>
      <w:bookmarkEnd w:id="58"/>
      <w:bookmarkEnd w:id="59"/>
      <w:bookmarkEnd w:id="60"/>
    </w:p>
    <w:p w14:paraId="7C090317">
      <w:pPr>
        <w:keepNext/>
        <w:keepLines/>
        <w:spacing w:before="120" w:after="120"/>
        <w:outlineLvl w:val="2"/>
        <w:rPr>
          <w:rFonts w:ascii="Times New Roman" w:hAnsi="Times New Roman" w:eastAsia="黑体" w:cs="Times New Roman"/>
          <w:bCs/>
          <w:sz w:val="24"/>
          <w:szCs w:val="32"/>
        </w:rPr>
      </w:pPr>
      <w:bookmarkStart w:id="61" w:name="_Toc14201246"/>
      <w:bookmarkStart w:id="62" w:name="_Toc26656977"/>
      <w:r>
        <w:rPr>
          <w:rFonts w:ascii="Times New Roman" w:hAnsi="Times New Roman" w:eastAsia="黑体" w:cs="Times New Roman"/>
          <w:bCs/>
          <w:sz w:val="24"/>
          <w:szCs w:val="32"/>
        </w:rPr>
        <w:t>7.1成交候选人公示</w:t>
      </w:r>
      <w:bookmarkEnd w:id="61"/>
      <w:bookmarkEnd w:id="62"/>
    </w:p>
    <w:p w14:paraId="4EA7A6F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78085B44">
      <w:pPr>
        <w:keepNext/>
        <w:keepLines/>
        <w:spacing w:before="120" w:after="120"/>
        <w:outlineLvl w:val="2"/>
        <w:rPr>
          <w:rFonts w:ascii="Times New Roman" w:hAnsi="Times New Roman" w:eastAsia="黑体" w:cs="Times New Roman"/>
          <w:bCs/>
          <w:sz w:val="24"/>
          <w:szCs w:val="32"/>
        </w:rPr>
      </w:pPr>
      <w:bookmarkStart w:id="63" w:name="_Toc14201247"/>
      <w:bookmarkStart w:id="64" w:name="_Toc26656978"/>
      <w:r>
        <w:rPr>
          <w:rFonts w:ascii="Times New Roman" w:hAnsi="Times New Roman" w:eastAsia="黑体" w:cs="Times New Roman"/>
          <w:bCs/>
          <w:sz w:val="24"/>
          <w:szCs w:val="32"/>
        </w:rPr>
        <w:t>7.2评审结果异议</w:t>
      </w:r>
      <w:bookmarkEnd w:id="63"/>
      <w:bookmarkEnd w:id="64"/>
    </w:p>
    <w:p w14:paraId="603F744C">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E446AEA">
      <w:pPr>
        <w:keepNext/>
        <w:keepLines/>
        <w:spacing w:before="120" w:after="120"/>
        <w:outlineLvl w:val="2"/>
        <w:rPr>
          <w:rFonts w:ascii="Times New Roman" w:hAnsi="Times New Roman" w:eastAsia="黑体" w:cs="Times New Roman"/>
          <w:bCs/>
          <w:sz w:val="24"/>
          <w:szCs w:val="32"/>
        </w:rPr>
      </w:pPr>
      <w:bookmarkStart w:id="65" w:name="_Toc26656979"/>
      <w:bookmarkStart w:id="66" w:name="_Toc14201248"/>
      <w:r>
        <w:rPr>
          <w:rFonts w:ascii="Times New Roman" w:hAnsi="Times New Roman" w:eastAsia="黑体" w:cs="Times New Roman"/>
          <w:bCs/>
          <w:sz w:val="24"/>
          <w:szCs w:val="32"/>
        </w:rPr>
        <w:t>7.3成交候选人履约能力审查</w:t>
      </w:r>
      <w:bookmarkEnd w:id="65"/>
      <w:bookmarkEnd w:id="66"/>
    </w:p>
    <w:p w14:paraId="618FDB84">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798B18C2">
      <w:pPr>
        <w:keepNext/>
        <w:keepLines/>
        <w:spacing w:before="120" w:after="120"/>
        <w:outlineLvl w:val="2"/>
        <w:rPr>
          <w:rFonts w:ascii="Times New Roman" w:hAnsi="Times New Roman" w:eastAsia="黑体" w:cs="Times New Roman"/>
          <w:bCs/>
          <w:sz w:val="24"/>
          <w:szCs w:val="32"/>
        </w:rPr>
      </w:pPr>
      <w:bookmarkStart w:id="67" w:name="_Toc14201253"/>
      <w:bookmarkStart w:id="68"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7"/>
      <w:bookmarkEnd w:id="68"/>
    </w:p>
    <w:p w14:paraId="440B37AF">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5D4EF37D">
      <w:pPr>
        <w:keepNext/>
        <w:keepLines/>
        <w:spacing w:before="156" w:beforeLines="50" w:after="156" w:afterLines="50"/>
        <w:outlineLvl w:val="1"/>
        <w:rPr>
          <w:rFonts w:ascii="Times New Roman" w:hAnsi="Times New Roman" w:eastAsia="黑体" w:cs="Times New Roman"/>
          <w:bCs/>
          <w:sz w:val="24"/>
          <w:szCs w:val="32"/>
        </w:rPr>
      </w:pPr>
      <w:bookmarkStart w:id="69" w:name="_Toc26656988"/>
      <w:bookmarkStart w:id="70" w:name="_Toc14201257"/>
      <w:bookmarkStart w:id="71" w:name="_Toc9067727"/>
      <w:r>
        <w:rPr>
          <w:rFonts w:ascii="Times New Roman" w:hAnsi="Times New Roman" w:eastAsia="黑体" w:cs="Times New Roman"/>
          <w:bCs/>
          <w:sz w:val="24"/>
          <w:szCs w:val="32"/>
        </w:rPr>
        <w:t>8. 纪律和监督</w:t>
      </w:r>
      <w:bookmarkEnd w:id="69"/>
      <w:bookmarkEnd w:id="70"/>
      <w:bookmarkEnd w:id="71"/>
    </w:p>
    <w:p w14:paraId="19C616A3">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01DEAA3E">
      <w:pPr>
        <w:keepNext/>
        <w:keepLines/>
        <w:spacing w:before="156" w:beforeLines="50" w:after="156" w:afterLines="50"/>
        <w:outlineLvl w:val="1"/>
        <w:rPr>
          <w:rFonts w:ascii="Times New Roman" w:hAnsi="Times New Roman" w:eastAsia="黑体" w:cs="Times New Roman"/>
          <w:bCs/>
          <w:sz w:val="24"/>
          <w:szCs w:val="32"/>
        </w:rPr>
      </w:pPr>
      <w:bookmarkStart w:id="72" w:name="_Toc26656993"/>
      <w:bookmarkStart w:id="73"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2"/>
      <w:bookmarkEnd w:id="73"/>
    </w:p>
    <w:p w14:paraId="0F0F0F98">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670445D3">
      <w:pPr>
        <w:keepNext/>
        <w:keepLines/>
        <w:spacing w:before="156" w:beforeLines="50" w:after="156" w:afterLines="50"/>
        <w:outlineLvl w:val="1"/>
        <w:rPr>
          <w:rFonts w:ascii="Times New Roman" w:hAnsi="Times New Roman" w:eastAsia="黑体" w:cs="Times New Roman"/>
          <w:bCs/>
          <w:sz w:val="24"/>
          <w:szCs w:val="32"/>
        </w:rPr>
      </w:pPr>
      <w:bookmarkStart w:id="74" w:name="_Toc14201263"/>
      <w:bookmarkStart w:id="75" w:name="_Toc26656994"/>
      <w:bookmarkStart w:id="76"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4"/>
      <w:bookmarkEnd w:id="75"/>
      <w:bookmarkEnd w:id="76"/>
    </w:p>
    <w:p w14:paraId="21063FE1">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130F6C20">
      <w:pPr>
        <w:pStyle w:val="23"/>
        <w:jc w:val="right"/>
        <w:rPr>
          <w:rFonts w:hint="default" w:ascii="Times New Roman" w:hAnsi="Times New Roman"/>
          <w:color w:val="auto"/>
          <w:sz w:val="21"/>
          <w:szCs w:val="22"/>
        </w:rPr>
      </w:pPr>
    </w:p>
    <w:p w14:paraId="7B813EF8">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ascii="Times New Roman" w:hAnsi="Times New Roman" w:eastAsia="宋体" w:cs="Times New Roman"/>
          <w:b/>
          <w:bCs/>
          <w:kern w:val="44"/>
          <w:sz w:val="36"/>
          <w:szCs w:val="44"/>
        </w:rPr>
        <w:t>评审办法</w:t>
      </w:r>
    </w:p>
    <w:p w14:paraId="07710449">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7CA4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6A0F3A90">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5497D4E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6" w:type="dxa"/>
            <w:vAlign w:val="center"/>
          </w:tcPr>
          <w:p w14:paraId="51433F0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1D3E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86A68B1">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42296C8E">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4560795D">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710AD353">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6" w:type="dxa"/>
            <w:tcMar>
              <w:left w:w="75" w:type="dxa"/>
            </w:tcMar>
            <w:vAlign w:val="center"/>
          </w:tcPr>
          <w:p w14:paraId="7A974486">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5B7C9EE7">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72D72927">
      <w:pPr>
        <w:adjustRightInd w:val="0"/>
        <w:snapToGrid w:val="0"/>
        <w:spacing w:line="360" w:lineRule="auto"/>
        <w:ind w:firstLine="420"/>
        <w:textAlignment w:val="baseline"/>
        <w:rPr>
          <w:rFonts w:ascii="Times New Roman" w:hAnsi="Times New Roman" w:eastAsia="宋体" w:cs="Times New Roman"/>
          <w:szCs w:val="21"/>
        </w:rPr>
      </w:pP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0D73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08CED996">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7A3C1E8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5E016D4D">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3557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512B86A3">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6F6918D2">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79B9F9C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703CD32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29E1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05E6C2">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647725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7D0AE8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75B6499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7CED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E4FC7B">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8437E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0BEBDDC">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1F96459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360B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888A05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15E7329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4560D55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15463BCC">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0DFA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08285BE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0774938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4E410A6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71BB8BC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7830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4FBC59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885478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1385CBD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243C560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4A0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65ABF4">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8E4497C">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617C35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3718C84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74B5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F918D80">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D5BEAB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62388C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7C4003AA">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04BF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248F5F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615EAF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F97DC4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3F05920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49E9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331C0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6E77E7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1907DB0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6398D88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0063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732F48A">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6CDDB57">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E9BE5D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2826AB99">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6DBA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24DC4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9EC560F">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D04C893">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6BE2462">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A1D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E5CFA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4336FA4">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55D4B1F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6BCE579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2B66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718C07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00390F41">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4402E3B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052431F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121B88C5">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0F4EA5F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1E970B30">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2E332F9A">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05269FD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12EF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88DD62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C754F3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1BC3AFB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117CEF04">
            <w:pPr>
              <w:widowControl/>
              <w:adjustRightInd w:val="0"/>
              <w:snapToGrid w:val="0"/>
              <w:spacing w:line="360" w:lineRule="atLeast"/>
              <w:ind w:firstLine="210" w:firstLineChars="100"/>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41155829">
      <w:pPr>
        <w:jc w:val="left"/>
        <w:rPr>
          <w:rFonts w:ascii="Times New Roman" w:hAnsi="Times New Roman" w:eastAsia="宋体" w:cs="Times New Roman"/>
          <w:spacing w:val="4"/>
          <w:szCs w:val="21"/>
        </w:rPr>
      </w:pPr>
    </w:p>
    <w:tbl>
      <w:tblPr>
        <w:tblStyle w:val="15"/>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7F001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4B3C2F2D">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58520F41">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24262092">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2C578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49EFCDE7">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3DD299E8">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1CD51D60">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hint="eastAsia" w:ascii="Times New Roman" w:hAnsi="Times New Roman" w:eastAsia="宋体" w:cs="Times New Roman"/>
                <w:szCs w:val="21"/>
                <w:u w:val="single"/>
                <w:lang w:val="en-US" w:eastAsia="zh-CN"/>
              </w:rPr>
              <w:t>60</w:t>
            </w:r>
            <w:r>
              <w:rPr>
                <w:rFonts w:ascii="Times New Roman" w:hAnsi="Times New Roman" w:eastAsia="宋体" w:cs="Times New Roman"/>
                <w:szCs w:val="21"/>
              </w:rPr>
              <w:t>分</w:t>
            </w:r>
          </w:p>
          <w:p w14:paraId="15EF7C2E">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lang w:val="en-US" w:eastAsia="zh-CN"/>
              </w:rPr>
              <w:t>40</w:t>
            </w:r>
            <w:r>
              <w:rPr>
                <w:rFonts w:ascii="Times New Roman" w:hAnsi="Times New Roman" w:eastAsia="宋体" w:cs="Times New Roman"/>
                <w:szCs w:val="21"/>
              </w:rPr>
              <w:t>分</w:t>
            </w:r>
          </w:p>
        </w:tc>
      </w:tr>
      <w:tr w14:paraId="49F01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5" w:hRule="atLeast"/>
          <w:jc w:val="center"/>
        </w:trPr>
        <w:tc>
          <w:tcPr>
            <w:tcW w:w="1696" w:type="dxa"/>
            <w:tcBorders>
              <w:top w:val="single" w:color="auto" w:sz="4" w:space="0"/>
              <w:bottom w:val="single" w:color="auto" w:sz="4" w:space="0"/>
              <w:right w:val="single" w:color="auto" w:sz="4" w:space="0"/>
            </w:tcBorders>
            <w:vAlign w:val="center"/>
          </w:tcPr>
          <w:p w14:paraId="7DE87348">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6B94F36">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334AC92C">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0A660E59">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03C2CF9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4FA9928A">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6689398E">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0A3DD9D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1BEECEA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3341ABD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094DAFCB">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51CB7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7" w:hRule="atLeast"/>
          <w:jc w:val="center"/>
        </w:trPr>
        <w:tc>
          <w:tcPr>
            <w:tcW w:w="1696" w:type="dxa"/>
            <w:tcBorders>
              <w:top w:val="single" w:color="auto" w:sz="4" w:space="0"/>
              <w:right w:val="single" w:color="auto" w:sz="4" w:space="0"/>
            </w:tcBorders>
            <w:vAlign w:val="center"/>
          </w:tcPr>
          <w:p w14:paraId="07F6C48C">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2CF965C0">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4C8B54F9">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2D5198A2">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10684D91">
      <w:pPr>
        <w:jc w:val="left"/>
        <w:rPr>
          <w:rFonts w:ascii="Times New Roman" w:hAnsi="Times New Roman" w:eastAsia="宋体" w:cs="Times New Roman"/>
          <w:spacing w:val="4"/>
          <w:szCs w:val="21"/>
        </w:rPr>
      </w:pPr>
    </w:p>
    <w:p w14:paraId="5F06399D">
      <w:pPr>
        <w:jc w:val="left"/>
        <w:rPr>
          <w:rFonts w:ascii="Times New Roman" w:hAnsi="Times New Roman" w:eastAsia="宋体" w:cs="Times New Roman"/>
          <w:spacing w:val="4"/>
          <w:szCs w:val="21"/>
        </w:rPr>
      </w:pPr>
    </w:p>
    <w:p w14:paraId="0F6F0B65">
      <w:pPr>
        <w:jc w:val="left"/>
        <w:rPr>
          <w:rFonts w:ascii="Times New Roman" w:hAnsi="Times New Roman" w:eastAsia="宋体" w:cs="Times New Roman"/>
          <w:spacing w:val="4"/>
          <w:szCs w:val="21"/>
        </w:rPr>
      </w:pPr>
    </w:p>
    <w:p w14:paraId="2036510E">
      <w:pPr>
        <w:jc w:val="left"/>
        <w:rPr>
          <w:rFonts w:ascii="Times New Roman" w:hAnsi="Times New Roman" w:eastAsia="宋体" w:cs="Times New Roman"/>
          <w:spacing w:val="4"/>
          <w:szCs w:val="21"/>
        </w:rPr>
      </w:pPr>
    </w:p>
    <w:p w14:paraId="329E17FE">
      <w:pPr>
        <w:jc w:val="left"/>
        <w:rPr>
          <w:rFonts w:ascii="Times New Roman" w:hAnsi="Times New Roman" w:eastAsia="宋体" w:cs="Times New Roman"/>
          <w:spacing w:val="4"/>
          <w:szCs w:val="21"/>
        </w:rPr>
      </w:pPr>
    </w:p>
    <w:tbl>
      <w:tblPr>
        <w:tblStyle w:val="15"/>
        <w:tblpPr w:leftFromText="180" w:rightFromText="180" w:vertAnchor="text" w:horzAnchor="page" w:tblpXSpec="center" w:tblpY="285"/>
        <w:tblOverlap w:val="never"/>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825"/>
        <w:gridCol w:w="850"/>
        <w:gridCol w:w="1134"/>
        <w:gridCol w:w="567"/>
        <w:gridCol w:w="4668"/>
      </w:tblGrid>
      <w:tr w14:paraId="39EC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536" w:type="dxa"/>
            <w:gridSpan w:val="5"/>
            <w:tcBorders>
              <w:top w:val="single" w:color="auto" w:sz="4" w:space="0"/>
            </w:tcBorders>
            <w:vAlign w:val="center"/>
          </w:tcPr>
          <w:p w14:paraId="7D6A6A5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4668" w:type="dxa"/>
            <w:vMerge w:val="restart"/>
            <w:tcBorders>
              <w:top w:val="single" w:color="auto" w:sz="4" w:space="0"/>
            </w:tcBorders>
            <w:vAlign w:val="center"/>
          </w:tcPr>
          <w:p w14:paraId="2D9C246F">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2175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60" w:type="dxa"/>
            <w:vAlign w:val="center"/>
          </w:tcPr>
          <w:p w14:paraId="7513F26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825" w:type="dxa"/>
            <w:vAlign w:val="center"/>
          </w:tcPr>
          <w:p w14:paraId="71830F5F">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850" w:type="dxa"/>
            <w:vAlign w:val="center"/>
          </w:tcPr>
          <w:p w14:paraId="2DDFE328">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1134" w:type="dxa"/>
            <w:vAlign w:val="center"/>
          </w:tcPr>
          <w:p w14:paraId="282D65F9">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567" w:type="dxa"/>
            <w:vAlign w:val="center"/>
          </w:tcPr>
          <w:p w14:paraId="2F1D2FC4">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分值</w:t>
            </w:r>
          </w:p>
        </w:tc>
        <w:tc>
          <w:tcPr>
            <w:tcW w:w="4668" w:type="dxa"/>
            <w:vMerge w:val="continue"/>
            <w:vAlign w:val="center"/>
          </w:tcPr>
          <w:p w14:paraId="38C89052">
            <w:pPr>
              <w:spacing w:line="380" w:lineRule="atLeast"/>
              <w:jc w:val="center"/>
              <w:rPr>
                <w:rFonts w:ascii="Times New Roman" w:hAnsi="Times New Roman" w:eastAsia="宋体" w:cs="Times New Roman"/>
                <w:b/>
                <w:szCs w:val="21"/>
              </w:rPr>
            </w:pPr>
          </w:p>
        </w:tc>
      </w:tr>
      <w:tr w14:paraId="63AFD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160" w:type="dxa"/>
            <w:vMerge w:val="restart"/>
            <w:vAlign w:val="center"/>
          </w:tcPr>
          <w:p w14:paraId="58031646">
            <w:pPr>
              <w:spacing w:line="3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2.2.4</w:t>
            </w: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w:t>
            </w:r>
          </w:p>
        </w:tc>
        <w:tc>
          <w:tcPr>
            <w:tcW w:w="825" w:type="dxa"/>
            <w:vMerge w:val="restart"/>
            <w:vAlign w:val="center"/>
          </w:tcPr>
          <w:p w14:paraId="5C3FCF97">
            <w:pPr>
              <w:spacing w:line="380" w:lineRule="atLeast"/>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技术性能</w:t>
            </w:r>
          </w:p>
        </w:tc>
        <w:tc>
          <w:tcPr>
            <w:tcW w:w="850" w:type="dxa"/>
            <w:vMerge w:val="restart"/>
            <w:vAlign w:val="center"/>
          </w:tcPr>
          <w:p w14:paraId="78770596">
            <w:pPr>
              <w:spacing w:line="380" w:lineRule="atLeast"/>
              <w:jc w:val="right"/>
              <w:rPr>
                <w:rFonts w:ascii="Times New Roman" w:hAnsi="Times New Roman" w:eastAsia="宋体" w:cs="Times New Roman"/>
                <w:color w:val="auto"/>
                <w:szCs w:val="21"/>
                <w:highlight w:val="none"/>
                <w:u w:val="single"/>
              </w:rPr>
            </w:pPr>
            <w:r>
              <w:rPr>
                <w:rFonts w:ascii="Times New Roman" w:hAnsi="Times New Roman" w:eastAsia="宋体" w:cs="Times New Roman"/>
                <w:color w:val="auto"/>
                <w:szCs w:val="21"/>
                <w:highlight w:val="none"/>
                <w:u w:val="single"/>
              </w:rPr>
              <w:t xml:space="preserve"> </w:t>
            </w:r>
            <w:r>
              <w:rPr>
                <w:rFonts w:hint="eastAsia" w:ascii="Times New Roman" w:hAnsi="Times New Roman" w:eastAsia="宋体" w:cs="Times New Roman"/>
                <w:color w:val="auto"/>
                <w:szCs w:val="21"/>
                <w:highlight w:val="none"/>
                <w:u w:val="single"/>
                <w:lang w:val="en-US" w:eastAsia="zh-CN"/>
              </w:rPr>
              <w:t>60</w:t>
            </w:r>
            <w:r>
              <w:rPr>
                <w:rFonts w:ascii="Times New Roman" w:hAnsi="Times New Roman" w:eastAsia="宋体" w:cs="Times New Roman"/>
                <w:color w:val="auto"/>
                <w:szCs w:val="21"/>
                <w:highlight w:val="none"/>
                <w:u w:val="single"/>
              </w:rPr>
              <w:t xml:space="preserve"> </w:t>
            </w:r>
            <w:r>
              <w:rPr>
                <w:rFonts w:ascii="Times New Roman" w:hAnsi="Times New Roman" w:eastAsia="宋体" w:cs="Times New Roman"/>
                <w:color w:val="auto"/>
                <w:szCs w:val="21"/>
                <w:highlight w:val="none"/>
              </w:rPr>
              <w:t>分</w:t>
            </w:r>
          </w:p>
        </w:tc>
        <w:tc>
          <w:tcPr>
            <w:tcW w:w="1134" w:type="dxa"/>
            <w:vAlign w:val="center"/>
          </w:tcPr>
          <w:p w14:paraId="7D4B6455">
            <w:pPr>
              <w:spacing w:line="240" w:lineRule="auto"/>
              <w:ind w:left="-105" w:leftChars="-50" w:right="-105" w:rightChars="-5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技术指标</w:t>
            </w:r>
          </w:p>
        </w:tc>
        <w:tc>
          <w:tcPr>
            <w:tcW w:w="567" w:type="dxa"/>
            <w:vAlign w:val="center"/>
          </w:tcPr>
          <w:p w14:paraId="65E7BD13">
            <w:pPr>
              <w:spacing w:line="240" w:lineRule="auto"/>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30</w:t>
            </w:r>
          </w:p>
        </w:tc>
        <w:tc>
          <w:tcPr>
            <w:tcW w:w="4668" w:type="dxa"/>
            <w:vAlign w:val="center"/>
          </w:tcPr>
          <w:p w14:paraId="4F264BBD">
            <w:pPr>
              <w:spacing w:line="240" w:lineRule="auto"/>
              <w:jc w:val="left"/>
              <w:rPr>
                <w:rFonts w:ascii="Times New Roman" w:hAnsi="Times New Roman"/>
                <w:color w:val="auto"/>
                <w:highlight w:val="none"/>
              </w:rPr>
            </w:pPr>
            <w:r>
              <w:rPr>
                <w:rFonts w:hint="eastAsia" w:ascii="Times New Roman" w:hAnsi="Times New Roman"/>
                <w:color w:val="auto"/>
                <w:highlight w:val="none"/>
              </w:rPr>
              <w:t>设备技术性能指标中完全满足供货要求</w:t>
            </w:r>
            <w:r>
              <w:rPr>
                <w:rFonts w:hint="eastAsia" w:ascii="Times New Roman" w:hAnsi="Times New Roman"/>
                <w:color w:val="auto"/>
                <w:highlight w:val="none"/>
                <w:lang w:val="en-US" w:eastAsia="zh-CN"/>
              </w:rPr>
              <w:t>的</w:t>
            </w:r>
            <w:r>
              <w:rPr>
                <w:rFonts w:hint="eastAsia" w:ascii="Times New Roman" w:hAnsi="Times New Roman"/>
                <w:color w:val="auto"/>
                <w:highlight w:val="none"/>
              </w:rPr>
              <w:t>，得满分</w:t>
            </w:r>
            <w:r>
              <w:rPr>
                <w:rFonts w:hint="eastAsia" w:ascii="Times New Roman" w:hAnsi="Times New Roman"/>
                <w:color w:val="auto"/>
                <w:highlight w:val="none"/>
                <w:lang w:val="en-US" w:eastAsia="zh-CN"/>
              </w:rPr>
              <w:t>30</w:t>
            </w:r>
            <w:r>
              <w:rPr>
                <w:rFonts w:hint="eastAsia" w:ascii="Times New Roman" w:hAnsi="Times New Roman"/>
                <w:color w:val="auto"/>
                <w:highlight w:val="none"/>
              </w:rPr>
              <w:t>分，</w:t>
            </w:r>
            <w:r>
              <w:rPr>
                <w:rFonts w:hint="eastAsia" w:ascii="Times New Roman" w:hAnsi="Times New Roman"/>
                <w:color w:val="auto"/>
                <w:highlight w:val="none"/>
                <w:lang w:val="en-US" w:eastAsia="zh-CN"/>
              </w:rPr>
              <w:t>加</w:t>
            </w:r>
            <w:r>
              <w:rPr>
                <w:rFonts w:hint="eastAsia" w:asciiTheme="minorEastAsia" w:hAnsiTheme="minorEastAsia" w:eastAsiaTheme="minorEastAsia" w:cstheme="minorEastAsia"/>
                <w:color w:val="auto"/>
                <w:sz w:val="18"/>
                <w:szCs w:val="18"/>
              </w:rPr>
              <w:t>★</w:t>
            </w:r>
            <w:r>
              <w:rPr>
                <w:rFonts w:hint="eastAsia" w:ascii="Times New Roman" w:hAnsi="Times New Roman"/>
                <w:color w:val="auto"/>
                <w:highlight w:val="none"/>
              </w:rPr>
              <w:t>技术参数每负偏离一条扣</w:t>
            </w:r>
            <w:r>
              <w:rPr>
                <w:rFonts w:hint="eastAsia" w:ascii="Times New Roman" w:hAnsi="Times New Roman"/>
                <w:color w:val="auto"/>
                <w:highlight w:val="none"/>
                <w:lang w:val="en-US" w:eastAsia="zh-CN"/>
              </w:rPr>
              <w:t>2</w:t>
            </w:r>
            <w:r>
              <w:rPr>
                <w:rFonts w:hint="eastAsia" w:ascii="Times New Roman" w:hAnsi="Times New Roman"/>
                <w:color w:val="auto"/>
                <w:highlight w:val="none"/>
              </w:rPr>
              <w:t>分，</w:t>
            </w:r>
            <w:r>
              <w:rPr>
                <w:rFonts w:hint="eastAsia" w:ascii="Times New Roman" w:hAnsi="Times New Roman"/>
                <w:color w:val="auto"/>
                <w:highlight w:val="none"/>
                <w:lang w:val="en-US" w:eastAsia="zh-CN"/>
              </w:rPr>
              <w:t>其他技术参数</w:t>
            </w:r>
            <w:r>
              <w:rPr>
                <w:rFonts w:hint="eastAsia" w:ascii="Times New Roman" w:hAnsi="Times New Roman"/>
                <w:color w:val="auto"/>
                <w:highlight w:val="none"/>
              </w:rPr>
              <w:t>每负偏离一条扣</w:t>
            </w:r>
            <w:r>
              <w:rPr>
                <w:rFonts w:hint="eastAsia" w:ascii="Times New Roman" w:hAnsi="Times New Roman"/>
                <w:color w:val="auto"/>
                <w:highlight w:val="none"/>
                <w:lang w:val="en-US" w:eastAsia="zh-CN"/>
              </w:rPr>
              <w:t>1</w:t>
            </w:r>
            <w:r>
              <w:rPr>
                <w:rFonts w:hint="eastAsia" w:ascii="Times New Roman" w:hAnsi="Times New Roman"/>
                <w:color w:val="auto"/>
                <w:highlight w:val="none"/>
              </w:rPr>
              <w:t>分</w:t>
            </w:r>
            <w:r>
              <w:rPr>
                <w:rFonts w:hint="eastAsia" w:ascii="Times New Roman" w:hAnsi="Times New Roman"/>
                <w:color w:val="auto"/>
                <w:highlight w:val="none"/>
                <w:lang w:eastAsia="zh-CN"/>
              </w:rPr>
              <w:t>，</w:t>
            </w:r>
            <w:r>
              <w:rPr>
                <w:rFonts w:hint="eastAsia" w:ascii="Times New Roman" w:hAnsi="Times New Roman"/>
                <w:color w:val="auto"/>
                <w:highlight w:val="none"/>
              </w:rPr>
              <w:t>扣完为止。</w:t>
            </w:r>
          </w:p>
        </w:tc>
      </w:tr>
      <w:tr w14:paraId="43591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jc w:val="center"/>
        </w:trPr>
        <w:tc>
          <w:tcPr>
            <w:tcW w:w="1160" w:type="dxa"/>
            <w:vMerge w:val="continue"/>
            <w:vAlign w:val="center"/>
          </w:tcPr>
          <w:p w14:paraId="32CBB6F5">
            <w:pPr>
              <w:spacing w:line="380" w:lineRule="atLeast"/>
              <w:jc w:val="center"/>
              <w:rPr>
                <w:rFonts w:ascii="Times New Roman" w:hAnsi="Times New Roman" w:eastAsia="宋体" w:cs="Times New Roman"/>
                <w:color w:val="auto"/>
                <w:szCs w:val="21"/>
              </w:rPr>
            </w:pPr>
          </w:p>
        </w:tc>
        <w:tc>
          <w:tcPr>
            <w:tcW w:w="825" w:type="dxa"/>
            <w:vMerge w:val="continue"/>
            <w:vAlign w:val="center"/>
          </w:tcPr>
          <w:p w14:paraId="7C5899B5">
            <w:pPr>
              <w:spacing w:line="380" w:lineRule="atLeast"/>
              <w:jc w:val="center"/>
              <w:rPr>
                <w:rFonts w:ascii="Times New Roman" w:hAnsi="Times New Roman" w:eastAsia="宋体" w:cs="Times New Roman"/>
                <w:color w:val="auto"/>
                <w:szCs w:val="21"/>
                <w:highlight w:val="yellow"/>
              </w:rPr>
            </w:pPr>
          </w:p>
        </w:tc>
        <w:tc>
          <w:tcPr>
            <w:tcW w:w="850" w:type="dxa"/>
            <w:vMerge w:val="continue"/>
            <w:vAlign w:val="center"/>
          </w:tcPr>
          <w:p w14:paraId="5433265B">
            <w:pPr>
              <w:spacing w:line="380" w:lineRule="atLeast"/>
              <w:jc w:val="right"/>
              <w:rPr>
                <w:rFonts w:ascii="Times New Roman" w:hAnsi="Times New Roman" w:eastAsia="宋体" w:cs="Times New Roman"/>
                <w:color w:val="auto"/>
                <w:szCs w:val="21"/>
                <w:highlight w:val="yellow"/>
                <w:u w:val="single"/>
              </w:rPr>
            </w:pPr>
          </w:p>
        </w:tc>
        <w:tc>
          <w:tcPr>
            <w:tcW w:w="1134" w:type="dxa"/>
            <w:vAlign w:val="center"/>
          </w:tcPr>
          <w:p w14:paraId="315DBC60">
            <w:pPr>
              <w:spacing w:line="240" w:lineRule="auto"/>
              <w:ind w:left="-105" w:leftChars="-50" w:right="-105" w:rightChars="-5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业绩要求</w:t>
            </w:r>
          </w:p>
        </w:tc>
        <w:tc>
          <w:tcPr>
            <w:tcW w:w="567" w:type="dxa"/>
            <w:vAlign w:val="center"/>
          </w:tcPr>
          <w:p w14:paraId="3080DE81">
            <w:pPr>
              <w:spacing w:line="240" w:lineRule="auto"/>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w:t>
            </w:r>
          </w:p>
        </w:tc>
        <w:tc>
          <w:tcPr>
            <w:tcW w:w="4668" w:type="dxa"/>
            <w:vAlign w:val="center"/>
          </w:tcPr>
          <w:p w14:paraId="04780929">
            <w:pPr>
              <w:widowControl w:val="0"/>
              <w:spacing w:before="27" w:line="240" w:lineRule="auto"/>
              <w:ind w:right="102"/>
              <w:jc w:val="both"/>
              <w:rPr>
                <w:rFonts w:hint="eastAsia" w:ascii="宋体" w:hAnsi="宋体" w:eastAsia="宋体" w:cs="宋体"/>
                <w:color w:val="auto"/>
                <w:spacing w:val="-4"/>
                <w:kern w:val="2"/>
                <w:sz w:val="21"/>
                <w:szCs w:val="21"/>
                <w:lang w:val="en-US" w:eastAsia="zh-CN" w:bidi="ar-SA"/>
              </w:rPr>
            </w:pPr>
            <w:r>
              <w:rPr>
                <w:rFonts w:hint="eastAsia" w:ascii="宋体" w:hAnsi="宋体" w:eastAsia="宋体" w:cs="宋体"/>
                <w:color w:val="auto"/>
                <w:spacing w:val="-4"/>
                <w:kern w:val="2"/>
                <w:sz w:val="21"/>
                <w:szCs w:val="21"/>
                <w:lang w:val="en-US" w:eastAsia="zh-CN" w:bidi="ar-SA"/>
              </w:rPr>
              <w:t>自 2021 年 11 月 1 日 以来（以合同签订时间为准），投标人具有相关设备的供货业绩，除资格业绩以外且单个合同业绩在10万及以上，每提供一个业绩得1分， 满分10分。</w:t>
            </w:r>
          </w:p>
          <w:p w14:paraId="138A58A6">
            <w:pPr>
              <w:pStyle w:val="5"/>
              <w:spacing w:line="240" w:lineRule="auto"/>
              <w:rPr>
                <w:color w:val="auto"/>
                <w:highlight w:val="none"/>
              </w:rPr>
            </w:pPr>
            <w:r>
              <w:rPr>
                <w:rFonts w:hint="eastAsia" w:ascii="宋体" w:hAnsi="宋体" w:eastAsia="宋体" w:cs="宋体"/>
                <w:color w:val="auto"/>
                <w:spacing w:val="-4"/>
                <w:kern w:val="2"/>
                <w:sz w:val="21"/>
                <w:szCs w:val="21"/>
                <w:lang w:val="en-US" w:eastAsia="zh-CN" w:bidi="ar-SA"/>
              </w:rPr>
              <w:t>注：1.响应文件中须提供业绩合同及验收证明材料扫描件。 如上述证明材料中无法体现合同签订时间、供货产品内容等评审因素的，须另提供加盖业主（或合同甲方）公章的相关证明材料扫描件；</w:t>
            </w:r>
          </w:p>
        </w:tc>
      </w:tr>
      <w:tr w14:paraId="3DC52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1160" w:type="dxa"/>
            <w:vMerge w:val="continue"/>
            <w:vAlign w:val="center"/>
          </w:tcPr>
          <w:p w14:paraId="428C0E90">
            <w:pPr>
              <w:spacing w:line="380" w:lineRule="atLeast"/>
              <w:jc w:val="center"/>
              <w:rPr>
                <w:rFonts w:ascii="Times New Roman" w:hAnsi="Times New Roman" w:eastAsia="宋体" w:cs="Times New Roman"/>
                <w:color w:val="auto"/>
                <w:szCs w:val="21"/>
              </w:rPr>
            </w:pPr>
          </w:p>
        </w:tc>
        <w:tc>
          <w:tcPr>
            <w:tcW w:w="825" w:type="dxa"/>
            <w:vMerge w:val="continue"/>
            <w:vAlign w:val="center"/>
          </w:tcPr>
          <w:p w14:paraId="2FEA4C63">
            <w:pPr>
              <w:spacing w:line="380" w:lineRule="atLeast"/>
              <w:jc w:val="center"/>
              <w:rPr>
                <w:rFonts w:ascii="Times New Roman" w:hAnsi="Times New Roman" w:eastAsia="宋体" w:cs="Times New Roman"/>
                <w:color w:val="auto"/>
                <w:szCs w:val="21"/>
                <w:highlight w:val="yellow"/>
              </w:rPr>
            </w:pPr>
          </w:p>
        </w:tc>
        <w:tc>
          <w:tcPr>
            <w:tcW w:w="850" w:type="dxa"/>
            <w:vMerge w:val="continue"/>
            <w:vAlign w:val="center"/>
          </w:tcPr>
          <w:p w14:paraId="69820CF7">
            <w:pPr>
              <w:spacing w:line="380" w:lineRule="atLeast"/>
              <w:jc w:val="right"/>
              <w:rPr>
                <w:rFonts w:ascii="Times New Roman" w:hAnsi="Times New Roman" w:eastAsia="宋体" w:cs="Times New Roman"/>
                <w:color w:val="auto"/>
                <w:szCs w:val="21"/>
                <w:highlight w:val="yellow"/>
                <w:u w:val="single"/>
              </w:rPr>
            </w:pPr>
          </w:p>
        </w:tc>
        <w:tc>
          <w:tcPr>
            <w:tcW w:w="1134" w:type="dxa"/>
            <w:vAlign w:val="center"/>
          </w:tcPr>
          <w:p w14:paraId="6256755E">
            <w:pPr>
              <w:spacing w:line="276" w:lineRule="auto"/>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服务便利性</w:t>
            </w:r>
          </w:p>
        </w:tc>
        <w:tc>
          <w:tcPr>
            <w:tcW w:w="567" w:type="dxa"/>
            <w:vAlign w:val="center"/>
          </w:tcPr>
          <w:p w14:paraId="00EEA3F9">
            <w:pPr>
              <w:spacing w:line="38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8</w:t>
            </w:r>
          </w:p>
        </w:tc>
        <w:tc>
          <w:tcPr>
            <w:tcW w:w="4668" w:type="dxa"/>
            <w:vAlign w:val="center"/>
          </w:tcPr>
          <w:p w14:paraId="67AEB344">
            <w:pPr>
              <w:pStyle w:val="14"/>
              <w:ind w:left="0" w:leftChars="0" w:firstLine="0" w:firstLineChars="0"/>
              <w:rPr>
                <w:rFonts w:hint="default" w:ascii="Times New Roman" w:hAnsi="Times New Roman" w:cs="Times New Roman"/>
                <w:color w:val="auto"/>
              </w:rPr>
            </w:pPr>
            <w:r>
              <w:rPr>
                <w:rFonts w:hint="eastAsia"/>
                <w:color w:val="auto"/>
              </w:rPr>
              <w:t>针对投标人的服务距离（以投标人的营业执照地址或售后服务点地址为起点，采购人地址为终点的</w:t>
            </w:r>
            <w:r>
              <w:rPr>
                <w:rFonts w:hint="eastAsia"/>
                <w:color w:val="auto"/>
                <w:lang w:val="en-US" w:eastAsia="zh-CN"/>
              </w:rPr>
              <w:t>手机</w:t>
            </w:r>
            <w:r>
              <w:rPr>
                <w:rFonts w:hint="eastAsia"/>
                <w:color w:val="auto"/>
              </w:rPr>
              <w:t>导航软</w:t>
            </w:r>
            <w:r>
              <w:rPr>
                <w:rFonts w:hint="default" w:ascii="Times New Roman" w:hAnsi="Times New Roman" w:cs="Times New Roman"/>
                <w:color w:val="auto"/>
              </w:rPr>
              <w:t>件驾车距离截图为准）进行评审：</w:t>
            </w:r>
          </w:p>
          <w:p w14:paraId="311D9CB0">
            <w:pPr>
              <w:pStyle w:val="14"/>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 xml:space="preserve">优：服务距离最短的，得 </w:t>
            </w:r>
            <w:r>
              <w:rPr>
                <w:rFonts w:hint="eastAsia" w:ascii="Times New Roman" w:hAnsi="Times New Roman" w:cs="Times New Roman"/>
                <w:color w:val="auto"/>
                <w:lang w:val="en-US" w:eastAsia="zh-CN"/>
              </w:rPr>
              <w:t>8</w:t>
            </w:r>
            <w:r>
              <w:rPr>
                <w:rFonts w:hint="default" w:ascii="Times New Roman" w:hAnsi="Times New Roman" w:cs="Times New Roman"/>
                <w:color w:val="auto"/>
              </w:rPr>
              <w:t xml:space="preserve"> 分</w:t>
            </w:r>
          </w:p>
          <w:p w14:paraId="190EF5BE">
            <w:pPr>
              <w:pStyle w:val="14"/>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 xml:space="preserve">良：服务距离次短的，得 </w:t>
            </w:r>
            <w:r>
              <w:rPr>
                <w:rFonts w:hint="eastAsia" w:ascii="Times New Roman" w:hAnsi="Times New Roman" w:cs="Times New Roman"/>
                <w:color w:val="auto"/>
                <w:lang w:val="en-US" w:eastAsia="zh-CN"/>
              </w:rPr>
              <w:t>5</w:t>
            </w:r>
            <w:r>
              <w:rPr>
                <w:rFonts w:hint="default" w:ascii="Times New Roman" w:hAnsi="Times New Roman" w:cs="Times New Roman"/>
                <w:color w:val="auto"/>
              </w:rPr>
              <w:t xml:space="preserve"> 分</w:t>
            </w:r>
          </w:p>
          <w:p w14:paraId="187AF007">
            <w:pPr>
              <w:pStyle w:val="14"/>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中：有提供服务距离截图的其他情况，得</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分</w:t>
            </w:r>
          </w:p>
          <w:p w14:paraId="2457618F">
            <w:pPr>
              <w:pStyle w:val="14"/>
              <w:ind w:left="0" w:leftChars="0" w:firstLine="0" w:firstLineChars="0"/>
              <w:rPr>
                <w:color w:val="auto"/>
              </w:rPr>
            </w:pPr>
            <w:r>
              <w:rPr>
                <w:rFonts w:hint="eastAsia"/>
                <w:color w:val="auto"/>
              </w:rPr>
              <w:t>注：提供营业执照（或售后服务点）证明材料复印件和</w:t>
            </w:r>
            <w:r>
              <w:rPr>
                <w:rFonts w:hint="eastAsia"/>
                <w:color w:val="auto"/>
                <w:lang w:val="en-US" w:eastAsia="zh-CN"/>
              </w:rPr>
              <w:t>手机</w:t>
            </w:r>
            <w:r>
              <w:rPr>
                <w:rFonts w:hint="eastAsia"/>
                <w:color w:val="auto"/>
              </w:rPr>
              <w:t>导航软件截图，并加盖投标人公章，没有提供服务距离截图或提供的信息不齐全不得分。</w:t>
            </w:r>
          </w:p>
        </w:tc>
      </w:tr>
      <w:tr w14:paraId="3103C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1160" w:type="dxa"/>
            <w:vMerge w:val="continue"/>
            <w:vAlign w:val="center"/>
          </w:tcPr>
          <w:p w14:paraId="68A1DE43">
            <w:pPr>
              <w:spacing w:line="380" w:lineRule="atLeast"/>
              <w:jc w:val="center"/>
              <w:rPr>
                <w:rFonts w:ascii="Times New Roman" w:hAnsi="Times New Roman" w:eastAsia="宋体" w:cs="Times New Roman"/>
                <w:color w:val="auto"/>
                <w:szCs w:val="21"/>
              </w:rPr>
            </w:pPr>
          </w:p>
        </w:tc>
        <w:tc>
          <w:tcPr>
            <w:tcW w:w="825" w:type="dxa"/>
            <w:vMerge w:val="continue"/>
            <w:vAlign w:val="center"/>
          </w:tcPr>
          <w:p w14:paraId="2F272353">
            <w:pPr>
              <w:spacing w:line="380" w:lineRule="atLeast"/>
              <w:jc w:val="center"/>
              <w:rPr>
                <w:rFonts w:ascii="Times New Roman" w:hAnsi="Times New Roman" w:eastAsia="宋体" w:cs="Times New Roman"/>
                <w:color w:val="auto"/>
                <w:szCs w:val="21"/>
                <w:highlight w:val="yellow"/>
              </w:rPr>
            </w:pPr>
          </w:p>
        </w:tc>
        <w:tc>
          <w:tcPr>
            <w:tcW w:w="850" w:type="dxa"/>
            <w:vMerge w:val="continue"/>
            <w:vAlign w:val="center"/>
          </w:tcPr>
          <w:p w14:paraId="3E10B854">
            <w:pPr>
              <w:spacing w:line="380" w:lineRule="atLeast"/>
              <w:jc w:val="right"/>
              <w:rPr>
                <w:rFonts w:ascii="Times New Roman" w:hAnsi="Times New Roman" w:eastAsia="宋体" w:cs="Times New Roman"/>
                <w:color w:val="auto"/>
                <w:szCs w:val="21"/>
                <w:highlight w:val="yellow"/>
                <w:u w:val="single"/>
              </w:rPr>
            </w:pPr>
          </w:p>
        </w:tc>
        <w:tc>
          <w:tcPr>
            <w:tcW w:w="1134" w:type="dxa"/>
            <w:vAlign w:val="center"/>
          </w:tcPr>
          <w:p w14:paraId="13BD4849">
            <w:pPr>
              <w:spacing w:line="276" w:lineRule="auto"/>
              <w:ind w:left="-105" w:leftChars="-50" w:right="-105" w:rightChars="-5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项目实施</w:t>
            </w:r>
          </w:p>
          <w:p w14:paraId="4B6949A5">
            <w:pPr>
              <w:spacing w:line="276" w:lineRule="auto"/>
              <w:ind w:left="-105" w:leftChars="-50" w:right="-105" w:rightChars="-5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与质量保</w:t>
            </w:r>
          </w:p>
          <w:p w14:paraId="5FA081E3">
            <w:pPr>
              <w:spacing w:line="276" w:lineRule="auto"/>
              <w:ind w:left="-105" w:leftChars="-50" w:right="-105" w:rightChars="-5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证</w:t>
            </w:r>
          </w:p>
        </w:tc>
        <w:tc>
          <w:tcPr>
            <w:tcW w:w="567" w:type="dxa"/>
            <w:vAlign w:val="center"/>
          </w:tcPr>
          <w:p w14:paraId="1574BCE1">
            <w:pPr>
              <w:spacing w:line="38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12</w:t>
            </w:r>
          </w:p>
        </w:tc>
        <w:tc>
          <w:tcPr>
            <w:tcW w:w="4668" w:type="dxa"/>
            <w:vAlign w:val="center"/>
          </w:tcPr>
          <w:p w14:paraId="1C8CC506">
            <w:pPr>
              <w:pStyle w:val="14"/>
              <w:ind w:left="0" w:leftChars="0" w:firstLine="0" w:firstLineChars="0"/>
              <w:rPr>
                <w:rFonts w:hint="eastAsia"/>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针对本项目的</w:t>
            </w:r>
            <w:r>
              <w:rPr>
                <w:rFonts w:hint="eastAsia"/>
                <w:color w:val="auto"/>
                <w:lang w:val="en-US" w:eastAsia="zh-CN"/>
              </w:rPr>
              <w:t>供货方案</w:t>
            </w:r>
            <w:r>
              <w:rPr>
                <w:rFonts w:hint="eastAsia"/>
                <w:color w:val="auto"/>
              </w:rPr>
              <w:t>、质量保证措施等，根据方案的可行性、细致程度、具体程度等，由评委对各投标人进行比较、评议；</w:t>
            </w:r>
          </w:p>
          <w:p w14:paraId="4961A02B">
            <w:pPr>
              <w:pStyle w:val="14"/>
              <w:ind w:left="0" w:leftChars="0" w:firstLine="0" w:firstLineChars="0"/>
              <w:rPr>
                <w:rFonts w:hint="eastAsia"/>
                <w:color w:val="auto"/>
              </w:rPr>
            </w:pPr>
            <w:r>
              <w:rPr>
                <w:rFonts w:hint="eastAsia"/>
                <w:color w:val="auto"/>
                <w:lang w:val="en-US" w:eastAsia="zh-CN"/>
              </w:rPr>
              <w:t>供货</w:t>
            </w:r>
            <w:r>
              <w:rPr>
                <w:rFonts w:hint="eastAsia"/>
                <w:color w:val="auto"/>
              </w:rPr>
              <w:t xml:space="preserve">方案最详细、最合理清晰、质量最有保证，完全满足且优于用户需求得 </w:t>
            </w:r>
            <w:r>
              <w:rPr>
                <w:rFonts w:hint="eastAsia"/>
                <w:color w:val="auto"/>
                <w:lang w:val="en-US" w:eastAsia="zh-CN"/>
              </w:rPr>
              <w:t>9</w:t>
            </w:r>
            <w:r>
              <w:rPr>
                <w:rFonts w:hint="eastAsia"/>
                <w:color w:val="auto"/>
              </w:rPr>
              <w:t xml:space="preserve"> 分；</w:t>
            </w:r>
          </w:p>
          <w:p w14:paraId="39F5CF88">
            <w:pPr>
              <w:pStyle w:val="14"/>
              <w:ind w:left="0" w:leftChars="0" w:firstLine="0" w:firstLineChars="0"/>
              <w:rPr>
                <w:rFonts w:hint="eastAsia"/>
                <w:color w:val="auto"/>
              </w:rPr>
            </w:pPr>
            <w:r>
              <w:rPr>
                <w:rFonts w:hint="eastAsia"/>
                <w:color w:val="auto"/>
                <w:lang w:val="en-US" w:eastAsia="zh-CN"/>
              </w:rPr>
              <w:t>供货</w:t>
            </w:r>
            <w:r>
              <w:rPr>
                <w:rFonts w:hint="eastAsia"/>
                <w:color w:val="auto"/>
              </w:rPr>
              <w:t>方案</w:t>
            </w:r>
            <w:r>
              <w:rPr>
                <w:rFonts w:hint="eastAsia"/>
                <w:color w:val="auto"/>
                <w:lang w:val="en-US" w:eastAsia="zh-CN"/>
              </w:rPr>
              <w:t>较</w:t>
            </w:r>
            <w:r>
              <w:rPr>
                <w:rFonts w:hint="eastAsia"/>
                <w:color w:val="auto"/>
              </w:rPr>
              <w:t>详细、</w:t>
            </w:r>
            <w:r>
              <w:rPr>
                <w:rFonts w:hint="eastAsia"/>
                <w:color w:val="auto"/>
                <w:lang w:val="en-US" w:eastAsia="zh-CN"/>
              </w:rPr>
              <w:t>较</w:t>
            </w:r>
            <w:r>
              <w:rPr>
                <w:rFonts w:hint="eastAsia"/>
                <w:color w:val="auto"/>
              </w:rPr>
              <w:t>合理清晰、质量</w:t>
            </w:r>
            <w:r>
              <w:rPr>
                <w:rFonts w:hint="eastAsia"/>
                <w:color w:val="auto"/>
                <w:lang w:val="en-US" w:eastAsia="zh-CN"/>
              </w:rPr>
              <w:t>较</w:t>
            </w:r>
            <w:r>
              <w:rPr>
                <w:rFonts w:hint="eastAsia"/>
                <w:color w:val="auto"/>
              </w:rPr>
              <w:t>有保证</w:t>
            </w:r>
            <w:r>
              <w:rPr>
                <w:rFonts w:hint="eastAsia"/>
                <w:color w:val="auto"/>
                <w:lang w:eastAsia="zh-CN"/>
              </w:rPr>
              <w:t>，</w:t>
            </w:r>
            <w:r>
              <w:rPr>
                <w:rFonts w:hint="eastAsia"/>
                <w:color w:val="auto"/>
              </w:rPr>
              <w:t xml:space="preserve">满足用户需求得 </w:t>
            </w:r>
            <w:r>
              <w:rPr>
                <w:rFonts w:hint="eastAsia"/>
                <w:color w:val="auto"/>
                <w:lang w:val="en-US" w:eastAsia="zh-CN"/>
              </w:rPr>
              <w:t>6</w:t>
            </w:r>
            <w:r>
              <w:rPr>
                <w:rFonts w:hint="eastAsia"/>
                <w:color w:val="auto"/>
              </w:rPr>
              <w:t xml:space="preserve"> 分；</w:t>
            </w:r>
          </w:p>
          <w:p w14:paraId="57C77C50">
            <w:pPr>
              <w:pStyle w:val="14"/>
              <w:ind w:left="0" w:leftChars="0" w:firstLine="0" w:firstLineChars="0"/>
              <w:rPr>
                <w:rFonts w:hint="eastAsia"/>
                <w:color w:val="auto"/>
              </w:rPr>
            </w:pPr>
            <w:r>
              <w:rPr>
                <w:rFonts w:hint="eastAsia"/>
                <w:color w:val="auto"/>
                <w:lang w:val="en-US" w:eastAsia="zh-CN"/>
              </w:rPr>
              <w:t>供货</w:t>
            </w:r>
            <w:r>
              <w:rPr>
                <w:rFonts w:hint="eastAsia"/>
                <w:color w:val="auto"/>
              </w:rPr>
              <w:t xml:space="preserve">方案不够详细、不够合理清晰、质量不够有保证，不能完全满足用户需求得 </w:t>
            </w:r>
            <w:r>
              <w:rPr>
                <w:rFonts w:hint="eastAsia"/>
                <w:color w:val="auto"/>
                <w:lang w:val="en-US" w:eastAsia="zh-CN"/>
              </w:rPr>
              <w:t>2</w:t>
            </w:r>
            <w:r>
              <w:rPr>
                <w:rFonts w:hint="eastAsia"/>
                <w:color w:val="auto"/>
              </w:rPr>
              <w:t xml:space="preserve"> 分；</w:t>
            </w:r>
          </w:p>
          <w:p w14:paraId="67B4453C">
            <w:pPr>
              <w:pStyle w:val="14"/>
              <w:ind w:left="0" w:leftChars="0" w:firstLine="0" w:firstLineChars="0"/>
              <w:rPr>
                <w:rFonts w:hint="eastAsia"/>
                <w:color w:val="auto"/>
              </w:rPr>
            </w:pPr>
            <w:r>
              <w:rPr>
                <w:rFonts w:hint="eastAsia"/>
                <w:color w:val="auto"/>
              </w:rPr>
              <w:t>无方案不得分。</w:t>
            </w:r>
          </w:p>
          <w:p w14:paraId="4C930C73">
            <w:pPr>
              <w:widowControl w:val="0"/>
              <w:spacing w:before="39" w:line="220" w:lineRule="auto"/>
              <w:jc w:val="both"/>
              <w:rPr>
                <w:rFonts w:hint="eastAsia" w:ascii="宋体" w:hAnsi="宋体" w:eastAsia="宋体" w:cs="宋体"/>
                <w:color w:val="auto"/>
                <w:spacing w:val="-2"/>
                <w:kern w:val="2"/>
                <w:sz w:val="21"/>
                <w:szCs w:val="21"/>
                <w:lang w:val="en-US" w:eastAsia="zh-CN" w:bidi="ar-SA"/>
              </w:rPr>
            </w:pPr>
            <w:r>
              <w:rPr>
                <w:rFonts w:hint="eastAsia" w:ascii="宋体" w:hAnsi="宋体" w:eastAsia="宋体" w:cs="宋体"/>
                <w:color w:val="auto"/>
                <w:spacing w:val="-2"/>
                <w:kern w:val="2"/>
                <w:sz w:val="21"/>
                <w:szCs w:val="21"/>
                <w:lang w:val="en-US" w:eastAsia="zh-CN" w:bidi="ar-SA"/>
              </w:rPr>
              <w:t>（2）售后人员</w:t>
            </w:r>
          </w:p>
          <w:p w14:paraId="48334985">
            <w:pPr>
              <w:widowControl w:val="0"/>
              <w:spacing w:before="39" w:line="220" w:lineRule="auto"/>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pacing w:val="-5"/>
                <w:kern w:val="2"/>
                <w:sz w:val="21"/>
                <w:szCs w:val="21"/>
                <w:lang w:val="en-US" w:eastAsia="zh-CN" w:bidi="ar-SA"/>
              </w:rPr>
              <w:t>投标人为本项目配备售后服务人员，每配备2人得</w:t>
            </w:r>
            <w:r>
              <w:rPr>
                <w:rFonts w:hint="eastAsia" w:ascii="宋体" w:hAnsi="宋体" w:eastAsia="宋体" w:cs="宋体"/>
                <w:color w:val="auto"/>
                <w:spacing w:val="-44"/>
                <w:kern w:val="2"/>
                <w:sz w:val="21"/>
                <w:szCs w:val="21"/>
                <w:lang w:val="en-US" w:eastAsia="zh-CN" w:bidi="ar-SA"/>
              </w:rPr>
              <w:t xml:space="preserve"> </w:t>
            </w:r>
            <w:r>
              <w:rPr>
                <w:rFonts w:hint="eastAsia" w:ascii="宋体" w:hAnsi="宋体" w:eastAsia="宋体" w:cs="宋体"/>
                <w:color w:val="auto"/>
                <w:spacing w:val="-5"/>
                <w:kern w:val="2"/>
                <w:sz w:val="21"/>
                <w:szCs w:val="21"/>
                <w:lang w:val="en-US" w:eastAsia="zh-CN" w:bidi="ar-SA"/>
              </w:rPr>
              <w:t>1分，最多得</w:t>
            </w:r>
            <w:r>
              <w:rPr>
                <w:rFonts w:hint="eastAsia" w:ascii="宋体" w:hAnsi="宋体" w:eastAsia="宋体" w:cs="宋体"/>
                <w:color w:val="auto"/>
                <w:spacing w:val="-48"/>
                <w:kern w:val="2"/>
                <w:sz w:val="21"/>
                <w:szCs w:val="21"/>
                <w:lang w:val="en-US" w:eastAsia="zh-CN" w:bidi="ar-SA"/>
              </w:rPr>
              <w:t xml:space="preserve"> </w:t>
            </w:r>
            <w:r>
              <w:rPr>
                <w:rFonts w:hint="eastAsia" w:ascii="宋体" w:hAnsi="宋体" w:eastAsia="宋体" w:cs="宋体"/>
                <w:color w:val="auto"/>
                <w:spacing w:val="-5"/>
                <w:kern w:val="2"/>
                <w:sz w:val="21"/>
                <w:szCs w:val="21"/>
                <w:lang w:val="en-US" w:eastAsia="zh-CN" w:bidi="ar-SA"/>
              </w:rPr>
              <w:t>3分。</w:t>
            </w:r>
          </w:p>
          <w:p w14:paraId="44C173E2">
            <w:pPr>
              <w:rPr>
                <w:color w:val="auto"/>
              </w:rPr>
            </w:pPr>
            <w:r>
              <w:rPr>
                <w:rFonts w:hint="eastAsia" w:ascii="宋体" w:hAnsi="宋体" w:eastAsia="宋体" w:cs="宋体"/>
                <w:color w:val="auto"/>
                <w:spacing w:val="3"/>
                <w:kern w:val="2"/>
                <w:sz w:val="21"/>
                <w:szCs w:val="21"/>
                <w:lang w:val="en-US" w:eastAsia="zh-CN" w:bidi="ar-SA"/>
              </w:rPr>
              <w:t>注：响应文件中提供①人员名单（格式自拟</w:t>
            </w:r>
            <w:r>
              <w:rPr>
                <w:rFonts w:hint="eastAsia" w:ascii="宋体" w:hAnsi="宋体" w:eastAsia="宋体" w:cs="宋体"/>
                <w:color w:val="auto"/>
                <w:spacing w:val="21"/>
                <w:kern w:val="2"/>
                <w:sz w:val="21"/>
                <w:szCs w:val="21"/>
                <w:lang w:val="en-US" w:eastAsia="zh-CN" w:bidi="ar-SA"/>
              </w:rPr>
              <w:t>）；</w:t>
            </w:r>
            <w:r>
              <w:rPr>
                <w:rFonts w:hint="eastAsia" w:ascii="宋体" w:hAnsi="宋体" w:eastAsia="宋体" w:cs="宋体"/>
                <w:color w:val="auto"/>
                <w:spacing w:val="3"/>
                <w:kern w:val="2"/>
                <w:sz w:val="21"/>
                <w:szCs w:val="21"/>
                <w:lang w:val="en-US" w:eastAsia="zh-CN" w:bidi="ar-SA"/>
              </w:rPr>
              <w:t>②提供投标</w:t>
            </w:r>
            <w:r>
              <w:rPr>
                <w:rFonts w:hint="eastAsia" w:ascii="宋体" w:hAnsi="宋体" w:eastAsia="宋体" w:cs="宋体"/>
                <w:color w:val="auto"/>
                <w:spacing w:val="1"/>
                <w:kern w:val="2"/>
                <w:sz w:val="21"/>
                <w:szCs w:val="21"/>
                <w:lang w:val="en-US" w:eastAsia="zh-CN" w:bidi="ar-SA"/>
              </w:rPr>
              <w:t>人为上述人员缴纳的近</w:t>
            </w:r>
            <w:r>
              <w:rPr>
                <w:rFonts w:hint="eastAsia" w:ascii="宋体" w:hAnsi="宋体" w:eastAsia="宋体" w:cs="宋体"/>
                <w:color w:val="auto"/>
                <w:spacing w:val="-34"/>
                <w:kern w:val="2"/>
                <w:sz w:val="21"/>
                <w:szCs w:val="21"/>
                <w:lang w:val="en-US" w:eastAsia="zh-CN" w:bidi="ar-SA"/>
              </w:rPr>
              <w:t xml:space="preserve"> </w:t>
            </w:r>
            <w:r>
              <w:rPr>
                <w:rFonts w:hint="eastAsia" w:ascii="宋体" w:hAnsi="宋体" w:eastAsia="宋体" w:cs="宋体"/>
                <w:color w:val="auto"/>
                <w:spacing w:val="1"/>
                <w:kern w:val="2"/>
                <w:sz w:val="21"/>
                <w:szCs w:val="21"/>
                <w:lang w:val="en-US" w:eastAsia="zh-CN" w:bidi="ar-SA"/>
              </w:rPr>
              <w:t>3</w:t>
            </w:r>
            <w:r>
              <w:rPr>
                <w:rFonts w:hint="eastAsia" w:ascii="宋体" w:hAnsi="宋体" w:eastAsia="宋体" w:cs="宋体"/>
                <w:color w:val="auto"/>
                <w:spacing w:val="-44"/>
                <w:kern w:val="2"/>
                <w:sz w:val="21"/>
                <w:szCs w:val="21"/>
                <w:lang w:val="en-US" w:eastAsia="zh-CN" w:bidi="ar-SA"/>
              </w:rPr>
              <w:t xml:space="preserve"> </w:t>
            </w:r>
            <w:r>
              <w:rPr>
                <w:rFonts w:hint="eastAsia" w:ascii="宋体" w:hAnsi="宋体" w:eastAsia="宋体" w:cs="宋体"/>
                <w:color w:val="auto"/>
                <w:spacing w:val="1"/>
                <w:kern w:val="2"/>
                <w:sz w:val="21"/>
                <w:szCs w:val="21"/>
                <w:lang w:val="en-US" w:eastAsia="zh-CN" w:bidi="ar-SA"/>
              </w:rPr>
              <w:t>个月内（任意</w:t>
            </w:r>
            <w:r>
              <w:rPr>
                <w:rFonts w:hint="eastAsia" w:ascii="宋体" w:hAnsi="宋体" w:eastAsia="宋体" w:cs="宋体"/>
                <w:color w:val="auto"/>
                <w:spacing w:val="-30"/>
                <w:kern w:val="2"/>
                <w:sz w:val="21"/>
                <w:szCs w:val="21"/>
                <w:lang w:val="en-US" w:eastAsia="zh-CN" w:bidi="ar-SA"/>
              </w:rPr>
              <w:t xml:space="preserve"> </w:t>
            </w:r>
            <w:r>
              <w:rPr>
                <w:rFonts w:hint="eastAsia" w:ascii="宋体" w:hAnsi="宋体" w:eastAsia="宋体" w:cs="宋体"/>
                <w:color w:val="auto"/>
                <w:spacing w:val="1"/>
                <w:kern w:val="2"/>
                <w:sz w:val="21"/>
                <w:szCs w:val="21"/>
                <w:lang w:val="en-US" w:eastAsia="zh-CN" w:bidi="ar-SA"/>
              </w:rPr>
              <w:t>1</w:t>
            </w:r>
            <w:r>
              <w:rPr>
                <w:rFonts w:hint="eastAsia" w:ascii="宋体" w:hAnsi="宋体" w:eastAsia="宋体" w:cs="宋体"/>
                <w:color w:val="auto"/>
                <w:spacing w:val="-46"/>
                <w:kern w:val="2"/>
                <w:sz w:val="21"/>
                <w:szCs w:val="21"/>
                <w:lang w:val="en-US" w:eastAsia="zh-CN" w:bidi="ar-SA"/>
              </w:rPr>
              <w:t xml:space="preserve"> </w:t>
            </w:r>
            <w:r>
              <w:rPr>
                <w:rFonts w:hint="eastAsia" w:ascii="宋体" w:hAnsi="宋体" w:eastAsia="宋体" w:cs="宋体"/>
                <w:color w:val="auto"/>
                <w:spacing w:val="1"/>
                <w:kern w:val="2"/>
                <w:sz w:val="21"/>
                <w:szCs w:val="21"/>
                <w:lang w:val="en-US" w:eastAsia="zh-CN" w:bidi="ar-SA"/>
              </w:rPr>
              <w:t>个</w:t>
            </w:r>
            <w:r>
              <w:rPr>
                <w:rFonts w:hint="eastAsia" w:ascii="宋体" w:hAnsi="宋体" w:eastAsia="宋体" w:cs="宋体"/>
                <w:color w:val="auto"/>
                <w:spacing w:val="4"/>
                <w:kern w:val="2"/>
                <w:sz w:val="21"/>
                <w:szCs w:val="21"/>
                <w:lang w:val="en-US" w:eastAsia="zh-CN" w:bidi="ar-SA"/>
              </w:rPr>
              <w:t>月）的社保证明材料。</w:t>
            </w:r>
          </w:p>
        </w:tc>
      </w:tr>
      <w:tr w14:paraId="58D7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160" w:type="dxa"/>
            <w:vAlign w:val="center"/>
          </w:tcPr>
          <w:p w14:paraId="108C4607">
            <w:pPr>
              <w:spacing w:line="3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2.2.4</w:t>
            </w: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w:t>
            </w:r>
          </w:p>
        </w:tc>
        <w:tc>
          <w:tcPr>
            <w:tcW w:w="825" w:type="dxa"/>
            <w:vAlign w:val="center"/>
          </w:tcPr>
          <w:p w14:paraId="092C3B06">
            <w:pPr>
              <w:spacing w:line="3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评审价</w:t>
            </w:r>
          </w:p>
          <w:p w14:paraId="1397FAF8">
            <w:pPr>
              <w:spacing w:line="380" w:lineRule="atLeast"/>
              <w:jc w:val="center"/>
              <w:rPr>
                <w:rFonts w:ascii="Times New Roman" w:hAnsi="Times New Roman" w:eastAsia="宋体" w:cs="Times New Roman"/>
                <w:color w:val="auto"/>
                <w:szCs w:val="21"/>
              </w:rPr>
            </w:pPr>
          </w:p>
        </w:tc>
        <w:tc>
          <w:tcPr>
            <w:tcW w:w="850" w:type="dxa"/>
            <w:vAlign w:val="center"/>
          </w:tcPr>
          <w:p w14:paraId="33105C56">
            <w:pPr>
              <w:spacing w:line="380" w:lineRule="atLeast"/>
              <w:jc w:val="right"/>
              <w:rPr>
                <w:rFonts w:ascii="Times New Roman" w:hAnsi="Times New Roman" w:eastAsia="宋体" w:cs="Times New Roman"/>
                <w:color w:val="auto"/>
                <w:szCs w:val="21"/>
              </w:rPr>
            </w:pPr>
            <w:r>
              <w:rPr>
                <w:rFonts w:hint="eastAsia" w:ascii="Times New Roman" w:hAnsi="Times New Roman" w:eastAsia="宋体" w:cs="Times New Roman"/>
                <w:color w:val="auto"/>
                <w:szCs w:val="21"/>
                <w:u w:val="single"/>
                <w:lang w:val="en-US" w:eastAsia="zh-CN"/>
              </w:rPr>
              <w:t>40</w:t>
            </w:r>
            <w:r>
              <w:rPr>
                <w:rFonts w:ascii="Times New Roman" w:hAnsi="Times New Roman" w:eastAsia="宋体" w:cs="Times New Roman"/>
                <w:color w:val="auto"/>
                <w:szCs w:val="21"/>
              </w:rPr>
              <w:t>分</w:t>
            </w:r>
          </w:p>
        </w:tc>
        <w:tc>
          <w:tcPr>
            <w:tcW w:w="6369" w:type="dxa"/>
            <w:gridSpan w:val="3"/>
            <w:shd w:val="clear" w:color="auto" w:fill="auto"/>
          </w:tcPr>
          <w:p w14:paraId="08165116">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评审价得分计算公式示例：</w:t>
            </w:r>
          </w:p>
          <w:p w14:paraId="4835B447">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（1）如果供应商的评审价&gt;评审基准价，则评审价得分＝F－偏差率×100× E</w:t>
            </w:r>
            <w:r>
              <w:rPr>
                <w:rFonts w:ascii="Times New Roman" w:hAnsi="Times New Roman" w:eastAsia="宋体" w:cs="Times New Roman"/>
                <w:color w:val="auto"/>
                <w:szCs w:val="21"/>
                <w:vertAlign w:val="subscript"/>
              </w:rPr>
              <w:t>1</w:t>
            </w:r>
            <w:r>
              <w:rPr>
                <w:rFonts w:ascii="Times New Roman" w:hAnsi="Times New Roman" w:eastAsia="宋体" w:cs="Times New Roman"/>
                <w:color w:val="auto"/>
                <w:szCs w:val="21"/>
              </w:rPr>
              <w:t>；</w:t>
            </w:r>
          </w:p>
          <w:p w14:paraId="7C551363">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（2）如果供应商的评审价≤评审基准价，则评审价得分＝F＋偏差率× 100× E</w:t>
            </w:r>
            <w:r>
              <w:rPr>
                <w:rFonts w:ascii="Times New Roman" w:hAnsi="Times New Roman" w:eastAsia="宋体" w:cs="Times New Roman"/>
                <w:color w:val="auto"/>
                <w:szCs w:val="21"/>
                <w:vertAlign w:val="subscript"/>
              </w:rPr>
              <w:t>2</w:t>
            </w:r>
            <w:r>
              <w:rPr>
                <w:rFonts w:ascii="Times New Roman" w:hAnsi="Times New Roman" w:eastAsia="宋体" w:cs="Times New Roman"/>
                <w:color w:val="auto"/>
                <w:szCs w:val="21"/>
              </w:rPr>
              <w:t>。</w:t>
            </w:r>
          </w:p>
          <w:p w14:paraId="2D39178C">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其中：F是评审价所占的权重分值，F</w:t>
            </w:r>
            <w:r>
              <w:rPr>
                <w:rFonts w:hint="eastAsia"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40</w:t>
            </w: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E</w:t>
            </w:r>
            <w:r>
              <w:rPr>
                <w:rFonts w:ascii="Times New Roman" w:hAnsi="Times New Roman" w:eastAsia="宋体" w:cs="Times New Roman"/>
                <w:color w:val="auto"/>
                <w:szCs w:val="21"/>
                <w:vertAlign w:val="subscript"/>
              </w:rPr>
              <w:t>1</w:t>
            </w:r>
            <w:r>
              <w:rPr>
                <w:rFonts w:ascii="Times New Roman" w:hAnsi="Times New Roman" w:eastAsia="宋体" w:cs="Times New Roman"/>
                <w:color w:val="auto"/>
                <w:szCs w:val="21"/>
              </w:rPr>
              <w:t>是评审价每高于评审基准价一个百分点的扣分值，E</w:t>
            </w:r>
            <w:r>
              <w:rPr>
                <w:rFonts w:ascii="Times New Roman" w:hAnsi="Times New Roman" w:eastAsia="宋体" w:cs="Times New Roman"/>
                <w:color w:val="auto"/>
                <w:szCs w:val="21"/>
                <w:vertAlign w:val="subscript"/>
              </w:rPr>
              <w:t>2</w:t>
            </w:r>
            <w:r>
              <w:rPr>
                <w:rFonts w:ascii="Times New Roman" w:hAnsi="Times New Roman" w:eastAsia="宋体" w:cs="Times New Roman"/>
                <w:color w:val="auto"/>
                <w:szCs w:val="21"/>
              </w:rPr>
              <w:t>是评审价每低于评审基准价一个百分点的扣分值； E</w:t>
            </w:r>
            <w:r>
              <w:rPr>
                <w:rFonts w:ascii="Times New Roman" w:hAnsi="Times New Roman" w:eastAsia="宋体" w:cs="Times New Roman"/>
                <w:color w:val="auto"/>
                <w:szCs w:val="21"/>
                <w:vertAlign w:val="subscript"/>
              </w:rPr>
              <w:t>1</w:t>
            </w:r>
            <w:r>
              <w:rPr>
                <w:rFonts w:hint="eastAsia" w:ascii="Times New Roman" w:hAnsi="Times New Roman" w:eastAsia="宋体" w:cs="Times New Roman"/>
                <w:color w:val="auto"/>
                <w:szCs w:val="21"/>
              </w:rPr>
              <w:t>=0.2</w:t>
            </w:r>
            <w:r>
              <w:rPr>
                <w:rFonts w:ascii="Times New Roman" w:hAnsi="Times New Roman" w:eastAsia="宋体" w:cs="Times New Roman"/>
                <w:color w:val="auto"/>
                <w:szCs w:val="21"/>
              </w:rPr>
              <w:t>、E</w:t>
            </w:r>
            <w:r>
              <w:rPr>
                <w:rFonts w:ascii="Times New Roman" w:hAnsi="Times New Roman" w:eastAsia="宋体" w:cs="Times New Roman"/>
                <w:color w:val="auto"/>
                <w:szCs w:val="21"/>
                <w:vertAlign w:val="subscript"/>
              </w:rPr>
              <w:t>2</w:t>
            </w:r>
            <w:r>
              <w:rPr>
                <w:rFonts w:hint="eastAsia" w:ascii="Times New Roman" w:hAnsi="Times New Roman" w:eastAsia="宋体" w:cs="Times New Roman"/>
                <w:color w:val="auto"/>
                <w:szCs w:val="21"/>
              </w:rPr>
              <w:t>=0.1</w:t>
            </w:r>
            <w:r>
              <w:rPr>
                <w:rFonts w:ascii="Times New Roman" w:hAnsi="Times New Roman" w:eastAsia="宋体" w:cs="Times New Roman"/>
                <w:color w:val="auto"/>
                <w:szCs w:val="21"/>
              </w:rPr>
              <w:t>，但E</w:t>
            </w:r>
            <w:r>
              <w:rPr>
                <w:rFonts w:ascii="Times New Roman" w:hAnsi="Times New Roman" w:eastAsia="宋体" w:cs="Times New Roman"/>
                <w:color w:val="auto"/>
                <w:szCs w:val="21"/>
                <w:vertAlign w:val="subscript"/>
              </w:rPr>
              <w:t>1</w:t>
            </w:r>
            <w:r>
              <w:rPr>
                <w:rFonts w:ascii="Times New Roman" w:hAnsi="Times New Roman" w:eastAsia="宋体" w:cs="Times New Roman"/>
                <w:color w:val="auto"/>
                <w:szCs w:val="21"/>
              </w:rPr>
              <w:t>应大于E</w:t>
            </w:r>
            <w:r>
              <w:rPr>
                <w:rFonts w:ascii="Times New Roman" w:hAnsi="Times New Roman" w:eastAsia="宋体" w:cs="Times New Roman"/>
                <w:color w:val="auto"/>
                <w:szCs w:val="21"/>
                <w:vertAlign w:val="subscript"/>
              </w:rPr>
              <w:t>2</w:t>
            </w:r>
            <w:r>
              <w:rPr>
                <w:rFonts w:hint="eastAsia" w:ascii="Times New Roman" w:hAnsi="Times New Roman" w:eastAsia="宋体" w:cs="Times New Roman"/>
                <w:color w:val="auto"/>
                <w:szCs w:val="21"/>
              </w:rPr>
              <w:t>。评审价得分最低为0分。</w:t>
            </w:r>
          </w:p>
        </w:tc>
      </w:tr>
      <w:tr w14:paraId="7D78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4" w:type="dxa"/>
            <w:gridSpan w:val="6"/>
            <w:vAlign w:val="center"/>
          </w:tcPr>
          <w:p w14:paraId="0C7F7FFD">
            <w:pPr>
              <w:spacing w:line="360" w:lineRule="atLeast"/>
              <w:rPr>
                <w:rFonts w:ascii="Times New Roman" w:hAnsi="Times New Roman" w:eastAsia="宋体" w:cs="Times New Roman"/>
                <w:color w:val="auto"/>
                <w:szCs w:val="21"/>
              </w:rPr>
            </w:pPr>
            <w:r>
              <w:rPr>
                <w:rFonts w:ascii="Times New Roman" w:hAnsi="Times New Roman" w:eastAsia="宋体" w:cs="Times New Roman"/>
                <w:color w:val="auto"/>
                <w:szCs w:val="21"/>
                <w:highlight w:val="green"/>
              </w:rPr>
              <w:t>需要补充的其他内容：</w:t>
            </w:r>
            <w:r>
              <w:rPr>
                <w:rFonts w:hint="eastAsia" w:ascii="Times New Roman" w:hAnsi="Times New Roman" w:eastAsia="宋体" w:cs="Times New Roman"/>
                <w:color w:val="auto"/>
                <w:szCs w:val="21"/>
                <w:highlight w:val="green"/>
              </w:rPr>
              <w:t>响应技术性能需后注页码标注参数是否响应以便查阅！</w:t>
            </w:r>
          </w:p>
        </w:tc>
      </w:tr>
    </w:tbl>
    <w:p w14:paraId="13478F36">
      <w:pPr>
        <w:jc w:val="left"/>
        <w:rPr>
          <w:rFonts w:ascii="Times New Roman" w:hAnsi="Times New Roman" w:eastAsia="黑体" w:cs="Times New Roman"/>
          <w:bCs/>
          <w:sz w:val="24"/>
          <w:szCs w:val="32"/>
        </w:rPr>
      </w:pPr>
      <w:r>
        <w:rPr>
          <w:rFonts w:ascii="Times New Roman" w:hAnsi="Times New Roman" w:eastAsia="黑体" w:cs="Times New Roman"/>
          <w:color w:val="auto"/>
          <w:sz w:val="29"/>
          <w:szCs w:val="29"/>
        </w:rPr>
        <w:br w:type="page"/>
      </w:r>
      <w:r>
        <w:rPr>
          <w:rFonts w:ascii="Times New Roman" w:hAnsi="Times New Roman" w:eastAsia="黑体" w:cs="Times New Roman"/>
          <w:bCs/>
          <w:sz w:val="24"/>
          <w:szCs w:val="32"/>
        </w:rPr>
        <w:t>1. 评审方法</w:t>
      </w:r>
    </w:p>
    <w:p w14:paraId="2FA5CEA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0BDB96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1C904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59BD495">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869211F">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7C17C0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4B1D3E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分值构成与评审标准</w:t>
      </w:r>
    </w:p>
    <w:p w14:paraId="37ED2F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2.2.1分值构成：</w:t>
      </w:r>
    </w:p>
    <w:p w14:paraId="23E7C16E">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技术性能</w:t>
      </w:r>
      <w:r>
        <w:rPr>
          <w:rFonts w:ascii="Times New Roman" w:hAnsi="Times New Roman" w:eastAsia="宋体" w:cs="Times New Roman"/>
          <w:color w:val="auto"/>
        </w:rPr>
        <w:t>：见评审办法前附表；</w:t>
      </w:r>
    </w:p>
    <w:p w14:paraId="2C4614E0">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w:t>
      </w:r>
      <w:r>
        <w:rPr>
          <w:rFonts w:hint="eastAsia" w:ascii="Times New Roman" w:hAnsi="Times New Roman" w:eastAsia="宋体" w:cs="Times New Roman"/>
          <w:color w:val="auto"/>
        </w:rPr>
        <w:t>评审价</w:t>
      </w:r>
      <w:r>
        <w:rPr>
          <w:rFonts w:ascii="Times New Roman" w:hAnsi="Times New Roman" w:eastAsia="宋体" w:cs="Times New Roman"/>
          <w:color w:val="auto"/>
        </w:rPr>
        <w:t>：见评审办法前附表。</w:t>
      </w:r>
    </w:p>
    <w:p w14:paraId="096D8A6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2.2.2 评审基准价计算</w:t>
      </w:r>
    </w:p>
    <w:p w14:paraId="3DF42300">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评审基准价计算方法：见评审办法前附表。</w:t>
      </w:r>
    </w:p>
    <w:p w14:paraId="11517A8A">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2.2.3 评审价的偏差率计算</w:t>
      </w:r>
    </w:p>
    <w:p w14:paraId="7CB97C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评审价的偏差率计算公式：见评审办法前附表。</w:t>
      </w:r>
    </w:p>
    <w:p w14:paraId="6A80151C">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2.2.4评分标准：</w:t>
      </w:r>
    </w:p>
    <w:p w14:paraId="3D6D4646">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技术性能</w:t>
      </w:r>
      <w:r>
        <w:rPr>
          <w:rFonts w:ascii="Times New Roman" w:hAnsi="Times New Roman" w:eastAsia="宋体" w:cs="Times New Roman"/>
          <w:color w:val="auto"/>
        </w:rPr>
        <w:t>评分标准：见评审办法前附表；</w:t>
      </w:r>
    </w:p>
    <w:p w14:paraId="3937D8DF">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w:t>
      </w:r>
      <w:r>
        <w:rPr>
          <w:rFonts w:hint="eastAsia" w:ascii="Times New Roman" w:hAnsi="Times New Roman" w:eastAsia="宋体" w:cs="Times New Roman"/>
          <w:color w:val="auto"/>
        </w:rPr>
        <w:t>评审价</w:t>
      </w:r>
      <w:r>
        <w:rPr>
          <w:rFonts w:ascii="Times New Roman" w:hAnsi="Times New Roman" w:eastAsia="宋体" w:cs="Times New Roman"/>
          <w:color w:val="auto"/>
        </w:rPr>
        <w:t>评分标准：见评审办法前附表。</w:t>
      </w:r>
    </w:p>
    <w:p w14:paraId="05D6517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FC7681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DB2D7D8">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08B4FF1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2DB2C616">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57213EE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42B5A208">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087FAC19">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CD6B1B9">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589555E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0A28F8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D57FE8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F586F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21C6BE21">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7BA377A">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E4E0D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2E6B732F">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D5E59AA">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6FE5622">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4D7BCA62">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77D61450">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507F95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DBF0D80">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0E23CB2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6A318B11">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671EAD7">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7E7CD816">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49CB7030">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29CCA454">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767A650">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DE8B816">
      <w:pPr>
        <w:rPr>
          <w:rFonts w:ascii="等线" w:hAnsi="等线" w:eastAsia="等线" w:cs="Times New Roman"/>
          <w:szCs w:val="22"/>
        </w:rPr>
      </w:pPr>
    </w:p>
    <w:p w14:paraId="70E49B9F">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564CA29D">
      <w:pPr>
        <w:pStyle w:val="2"/>
        <w:numPr>
          <w:ilvl w:val="0"/>
          <w:numId w:val="0"/>
        </w:numPr>
        <w:spacing w:before="312" w:after="312"/>
        <w:jc w:val="center"/>
        <w:rPr>
          <w:rFonts w:hint="eastAsia" w:ascii="Times New Roman" w:hAnsi="Times New Roman" w:eastAsia="宋体" w:cs="Times New Roman"/>
        </w:rPr>
      </w:pPr>
      <w:bookmarkStart w:id="77" w:name="_Toc10990_WPSOffice_Level1"/>
    </w:p>
    <w:p w14:paraId="62F36B80">
      <w:pPr>
        <w:pStyle w:val="2"/>
        <w:numPr>
          <w:ilvl w:val="0"/>
          <w:numId w:val="0"/>
        </w:numPr>
        <w:spacing w:before="312" w:after="312"/>
        <w:jc w:val="center"/>
        <w:rPr>
          <w:rFonts w:ascii="Times New Roman" w:hAnsi="Times New Roman" w:eastAsia="宋体" w:cs="Times New Roman"/>
        </w:rPr>
      </w:pPr>
      <w:r>
        <w:rPr>
          <w:rFonts w:hint="eastAsia" w:ascii="Times New Roman" w:hAnsi="Times New Roman" w:eastAsia="宋体" w:cs="Times New Roman"/>
        </w:rPr>
        <w:t>第四章</w:t>
      </w:r>
      <w:r>
        <w:rPr>
          <w:rFonts w:ascii="Times New Roman" w:hAnsi="Times New Roman" w:eastAsia="宋体" w:cs="Times New Roman"/>
        </w:rPr>
        <w:t>合同内容</w:t>
      </w:r>
      <w:bookmarkEnd w:id="77"/>
    </w:p>
    <w:p w14:paraId="03481E12">
      <w:pPr>
        <w:ind w:firstLine="3840" w:firstLineChars="1200"/>
        <w:jc w:val="both"/>
        <w:rPr>
          <w:rFonts w:ascii="Times New Roman" w:hAnsi="Times New Roman" w:eastAsia="黑体" w:cs="Times New Roman"/>
          <w:sz w:val="32"/>
          <w:szCs w:val="32"/>
        </w:rPr>
      </w:pPr>
      <w:bookmarkStart w:id="78" w:name="_bookmark259"/>
      <w:bookmarkEnd w:id="78"/>
      <w:bookmarkStart w:id="79"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0C112E33">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7EEACC4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2C956E92">
      <w:pPr>
        <w:spacing w:line="360" w:lineRule="auto"/>
        <w:rPr>
          <w:rFonts w:ascii="Times New Roman" w:hAnsi="Times New Roman" w:cs="Times New Roman"/>
          <w:szCs w:val="21"/>
        </w:rPr>
      </w:pPr>
      <w:r>
        <w:rPr>
          <w:rFonts w:ascii="Times New Roman" w:hAnsi="Times New Roman" w:cs="Times New Roman"/>
          <w:szCs w:val="21"/>
        </w:rPr>
        <w:t>乙方：</w:t>
      </w:r>
    </w:p>
    <w:p w14:paraId="261CFA1B">
      <w:pPr>
        <w:spacing w:line="360" w:lineRule="auto"/>
        <w:rPr>
          <w:rFonts w:ascii="Times New Roman" w:hAnsi="Times New Roman" w:cs="Times New Roman"/>
          <w:szCs w:val="21"/>
        </w:rPr>
      </w:pPr>
    </w:p>
    <w:p w14:paraId="6CA345F8">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17372533">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7965F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9"/>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068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49CB699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0DBB041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1DD2CAD2">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规格型号</w:t>
            </w:r>
          </w:p>
        </w:tc>
        <w:tc>
          <w:tcPr>
            <w:tcW w:w="1636" w:type="dxa"/>
            <w:vAlign w:val="center"/>
          </w:tcPr>
          <w:p w14:paraId="2900225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3236A64F">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0A01EFEE">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6FF7E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8DFDA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3DC7FEE7">
            <w:pPr>
              <w:spacing w:before="100" w:beforeAutospacing="1" w:after="100" w:afterAutospacing="1" w:line="300" w:lineRule="exact"/>
              <w:jc w:val="center"/>
              <w:rPr>
                <w:rFonts w:cs="宋体"/>
                <w:szCs w:val="21"/>
              </w:rPr>
            </w:pPr>
          </w:p>
        </w:tc>
        <w:tc>
          <w:tcPr>
            <w:tcW w:w="1789" w:type="dxa"/>
            <w:vAlign w:val="center"/>
          </w:tcPr>
          <w:p w14:paraId="008167A6">
            <w:pPr>
              <w:spacing w:before="100" w:beforeAutospacing="1" w:after="100" w:afterAutospacing="1" w:line="300" w:lineRule="exact"/>
              <w:jc w:val="center"/>
              <w:rPr>
                <w:rFonts w:cs="宋体"/>
                <w:szCs w:val="21"/>
              </w:rPr>
            </w:pPr>
          </w:p>
        </w:tc>
        <w:tc>
          <w:tcPr>
            <w:tcW w:w="1636" w:type="dxa"/>
            <w:vAlign w:val="center"/>
          </w:tcPr>
          <w:p w14:paraId="71B8B6C8">
            <w:pPr>
              <w:spacing w:before="100" w:beforeAutospacing="1" w:after="100" w:afterAutospacing="1" w:line="300" w:lineRule="exact"/>
              <w:jc w:val="center"/>
              <w:rPr>
                <w:rFonts w:cs="宋体"/>
                <w:szCs w:val="21"/>
              </w:rPr>
            </w:pPr>
          </w:p>
        </w:tc>
        <w:tc>
          <w:tcPr>
            <w:tcW w:w="1500" w:type="dxa"/>
            <w:vAlign w:val="center"/>
          </w:tcPr>
          <w:p w14:paraId="2CE68852">
            <w:pPr>
              <w:spacing w:line="360" w:lineRule="auto"/>
              <w:jc w:val="center"/>
              <w:rPr>
                <w:rFonts w:ascii="Times New Roman" w:hAnsi="Times New Roman" w:cs="Times New Roman"/>
                <w:szCs w:val="21"/>
              </w:rPr>
            </w:pPr>
          </w:p>
        </w:tc>
        <w:tc>
          <w:tcPr>
            <w:tcW w:w="1704" w:type="dxa"/>
            <w:vAlign w:val="center"/>
          </w:tcPr>
          <w:p w14:paraId="1BE5F7F5">
            <w:pPr>
              <w:spacing w:line="360" w:lineRule="auto"/>
              <w:jc w:val="center"/>
              <w:rPr>
                <w:rFonts w:ascii="Times New Roman" w:hAnsi="Times New Roman" w:cs="Times New Roman"/>
                <w:szCs w:val="21"/>
              </w:rPr>
            </w:pPr>
          </w:p>
        </w:tc>
      </w:tr>
      <w:tr w14:paraId="647E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2343F3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FDBFC56">
            <w:pPr>
              <w:spacing w:before="100" w:beforeAutospacing="1" w:after="100" w:afterAutospacing="1" w:line="300" w:lineRule="exact"/>
              <w:jc w:val="center"/>
              <w:rPr>
                <w:rFonts w:cs="宋体"/>
                <w:szCs w:val="21"/>
              </w:rPr>
            </w:pPr>
          </w:p>
        </w:tc>
        <w:tc>
          <w:tcPr>
            <w:tcW w:w="1789" w:type="dxa"/>
            <w:vAlign w:val="center"/>
          </w:tcPr>
          <w:p w14:paraId="3BE68116">
            <w:pPr>
              <w:spacing w:before="100" w:beforeAutospacing="1" w:after="100" w:afterAutospacing="1" w:line="300" w:lineRule="exact"/>
              <w:jc w:val="center"/>
              <w:rPr>
                <w:rFonts w:cs="宋体"/>
                <w:szCs w:val="21"/>
              </w:rPr>
            </w:pPr>
          </w:p>
        </w:tc>
        <w:tc>
          <w:tcPr>
            <w:tcW w:w="1636" w:type="dxa"/>
            <w:vAlign w:val="center"/>
          </w:tcPr>
          <w:p w14:paraId="62C2D333">
            <w:pPr>
              <w:spacing w:before="100" w:beforeAutospacing="1" w:after="100" w:afterAutospacing="1" w:line="300" w:lineRule="exact"/>
              <w:jc w:val="center"/>
              <w:rPr>
                <w:rFonts w:cs="宋体"/>
                <w:szCs w:val="21"/>
              </w:rPr>
            </w:pPr>
          </w:p>
        </w:tc>
        <w:tc>
          <w:tcPr>
            <w:tcW w:w="1500" w:type="dxa"/>
            <w:vAlign w:val="center"/>
          </w:tcPr>
          <w:p w14:paraId="76253B65">
            <w:pPr>
              <w:spacing w:line="360" w:lineRule="auto"/>
              <w:jc w:val="center"/>
              <w:rPr>
                <w:rFonts w:ascii="Times New Roman" w:hAnsi="Times New Roman" w:cs="Times New Roman"/>
                <w:szCs w:val="21"/>
              </w:rPr>
            </w:pPr>
          </w:p>
        </w:tc>
        <w:tc>
          <w:tcPr>
            <w:tcW w:w="1704" w:type="dxa"/>
            <w:vAlign w:val="center"/>
          </w:tcPr>
          <w:p w14:paraId="12E9F9FF">
            <w:pPr>
              <w:spacing w:line="360" w:lineRule="auto"/>
              <w:jc w:val="center"/>
              <w:rPr>
                <w:rFonts w:ascii="Times New Roman" w:hAnsi="Times New Roman" w:cs="Times New Roman"/>
                <w:szCs w:val="21"/>
              </w:rPr>
            </w:pPr>
          </w:p>
        </w:tc>
      </w:tr>
      <w:tr w14:paraId="7FDE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2C1B3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37FEFBB">
            <w:pPr>
              <w:spacing w:before="100" w:beforeAutospacing="1" w:after="100" w:afterAutospacing="1" w:line="300" w:lineRule="exact"/>
              <w:jc w:val="center"/>
              <w:rPr>
                <w:rFonts w:cs="宋体"/>
                <w:szCs w:val="21"/>
              </w:rPr>
            </w:pPr>
          </w:p>
        </w:tc>
        <w:tc>
          <w:tcPr>
            <w:tcW w:w="1789" w:type="dxa"/>
            <w:vAlign w:val="center"/>
          </w:tcPr>
          <w:p w14:paraId="43B6B7DC">
            <w:pPr>
              <w:spacing w:before="100" w:beforeAutospacing="1" w:after="100" w:afterAutospacing="1" w:line="300" w:lineRule="exact"/>
              <w:jc w:val="center"/>
              <w:rPr>
                <w:rFonts w:cs="宋体"/>
                <w:szCs w:val="21"/>
              </w:rPr>
            </w:pPr>
          </w:p>
        </w:tc>
        <w:tc>
          <w:tcPr>
            <w:tcW w:w="1636" w:type="dxa"/>
            <w:vAlign w:val="center"/>
          </w:tcPr>
          <w:p w14:paraId="197CE318">
            <w:pPr>
              <w:spacing w:before="100" w:beforeAutospacing="1" w:after="100" w:afterAutospacing="1" w:line="300" w:lineRule="exact"/>
              <w:jc w:val="center"/>
              <w:rPr>
                <w:rFonts w:cs="宋体"/>
                <w:szCs w:val="21"/>
              </w:rPr>
            </w:pPr>
          </w:p>
        </w:tc>
        <w:tc>
          <w:tcPr>
            <w:tcW w:w="1500" w:type="dxa"/>
            <w:vAlign w:val="center"/>
          </w:tcPr>
          <w:p w14:paraId="06937353">
            <w:pPr>
              <w:spacing w:line="360" w:lineRule="auto"/>
              <w:jc w:val="center"/>
              <w:rPr>
                <w:rFonts w:ascii="Times New Roman" w:hAnsi="Times New Roman" w:cs="Times New Roman"/>
                <w:szCs w:val="21"/>
              </w:rPr>
            </w:pPr>
          </w:p>
        </w:tc>
        <w:tc>
          <w:tcPr>
            <w:tcW w:w="1704" w:type="dxa"/>
            <w:vAlign w:val="center"/>
          </w:tcPr>
          <w:p w14:paraId="01BB3EC7">
            <w:pPr>
              <w:spacing w:line="360" w:lineRule="auto"/>
              <w:jc w:val="center"/>
              <w:rPr>
                <w:rFonts w:ascii="Times New Roman" w:hAnsi="Times New Roman" w:cs="Times New Roman"/>
                <w:szCs w:val="21"/>
              </w:rPr>
            </w:pPr>
          </w:p>
        </w:tc>
      </w:tr>
      <w:tr w14:paraId="2CFC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1A5F5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5B65E681">
            <w:pPr>
              <w:spacing w:before="100" w:beforeAutospacing="1" w:after="100" w:afterAutospacing="1" w:line="300" w:lineRule="exact"/>
              <w:jc w:val="center"/>
              <w:rPr>
                <w:rFonts w:cs="宋体"/>
                <w:szCs w:val="21"/>
              </w:rPr>
            </w:pPr>
          </w:p>
        </w:tc>
        <w:tc>
          <w:tcPr>
            <w:tcW w:w="1789" w:type="dxa"/>
            <w:vAlign w:val="center"/>
          </w:tcPr>
          <w:p w14:paraId="04677A95">
            <w:pPr>
              <w:spacing w:before="100" w:beforeAutospacing="1" w:after="100" w:afterAutospacing="1" w:line="300" w:lineRule="exact"/>
              <w:jc w:val="center"/>
              <w:rPr>
                <w:rFonts w:cs="宋体"/>
                <w:szCs w:val="21"/>
              </w:rPr>
            </w:pPr>
          </w:p>
        </w:tc>
        <w:tc>
          <w:tcPr>
            <w:tcW w:w="1636" w:type="dxa"/>
            <w:vAlign w:val="center"/>
          </w:tcPr>
          <w:p w14:paraId="66B717C2">
            <w:pPr>
              <w:spacing w:before="100" w:beforeAutospacing="1" w:after="100" w:afterAutospacing="1" w:line="300" w:lineRule="exact"/>
              <w:jc w:val="center"/>
              <w:rPr>
                <w:rFonts w:cs="宋体"/>
                <w:szCs w:val="21"/>
              </w:rPr>
            </w:pPr>
          </w:p>
        </w:tc>
        <w:tc>
          <w:tcPr>
            <w:tcW w:w="1500" w:type="dxa"/>
            <w:vAlign w:val="center"/>
          </w:tcPr>
          <w:p w14:paraId="5D0A2299">
            <w:pPr>
              <w:spacing w:line="360" w:lineRule="auto"/>
              <w:jc w:val="center"/>
              <w:rPr>
                <w:rFonts w:ascii="Times New Roman" w:hAnsi="Times New Roman" w:cs="Times New Roman"/>
                <w:szCs w:val="21"/>
              </w:rPr>
            </w:pPr>
          </w:p>
        </w:tc>
        <w:tc>
          <w:tcPr>
            <w:tcW w:w="1704" w:type="dxa"/>
            <w:vAlign w:val="center"/>
          </w:tcPr>
          <w:p w14:paraId="7E21BAF2">
            <w:pPr>
              <w:spacing w:line="360" w:lineRule="auto"/>
              <w:jc w:val="center"/>
              <w:rPr>
                <w:rFonts w:ascii="Times New Roman" w:hAnsi="Times New Roman" w:cs="Times New Roman"/>
                <w:szCs w:val="21"/>
              </w:rPr>
            </w:pPr>
          </w:p>
        </w:tc>
      </w:tr>
      <w:tr w14:paraId="42CB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25BD5FB">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292A024B">
            <w:pPr>
              <w:spacing w:line="360" w:lineRule="auto"/>
              <w:jc w:val="center"/>
              <w:rPr>
                <w:rFonts w:ascii="Times New Roman" w:hAnsi="Times New Roman" w:cs="Times New Roman"/>
                <w:szCs w:val="21"/>
              </w:rPr>
            </w:pPr>
          </w:p>
        </w:tc>
      </w:tr>
    </w:tbl>
    <w:p w14:paraId="77F4BCB7">
      <w:pPr>
        <w:spacing w:line="360" w:lineRule="auto"/>
        <w:ind w:firstLine="420" w:firstLineChars="200"/>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szCs w:val="21"/>
        </w:rPr>
        <w:t>1.2</w:t>
      </w:r>
      <w:r>
        <w:rPr>
          <w:rFonts w:hint="eastAsia" w:ascii="Times New Roman" w:hAnsi="Times New Roman" w:cs="Times New Roman"/>
          <w:color w:val="000000" w:themeColor="text1"/>
          <w:szCs w:val="21"/>
          <w14:textFill>
            <w14:solidFill>
              <w14:schemeClr w14:val="tx1"/>
            </w14:solidFill>
          </w14:textFill>
        </w:rPr>
        <w:t>上述费用包括货物的原材料、生产、包装、</w:t>
      </w:r>
      <w:r>
        <w:rPr>
          <w:rFonts w:ascii="Times New Roman" w:hAnsi="Times New Roman" w:cs="Times New Roman"/>
          <w:color w:val="000000" w:themeColor="text1"/>
          <w:szCs w:val="21"/>
          <w14:textFill>
            <w14:solidFill>
              <w14:schemeClr w14:val="tx1"/>
            </w14:solidFill>
          </w14:textFill>
        </w:rPr>
        <w:t>运输</w:t>
      </w:r>
      <w:r>
        <w:rPr>
          <w:rFonts w:hint="eastAsia" w:ascii="Times New Roman" w:hAnsi="Times New Roman" w:cs="Times New Roman"/>
          <w:color w:val="000000" w:themeColor="text1"/>
          <w:szCs w:val="21"/>
          <w14:textFill>
            <w14:solidFill>
              <w14:schemeClr w14:val="tx1"/>
            </w14:solidFill>
          </w14:textFill>
        </w:rPr>
        <w:t>、安装</w:t>
      </w:r>
      <w:r>
        <w:rPr>
          <w:rFonts w:ascii="Times New Roman" w:hAnsi="Times New Roman" w:cs="Times New Roman"/>
          <w:color w:val="000000" w:themeColor="text1"/>
          <w:szCs w:val="21"/>
          <w14:textFill>
            <w14:solidFill>
              <w14:schemeClr w14:val="tx1"/>
            </w14:solidFill>
          </w14:textFill>
        </w:rPr>
        <w:t>调试试运行</w:t>
      </w:r>
      <w:r>
        <w:rPr>
          <w:rFonts w:hint="eastAsia" w:ascii="Times New Roman" w:hAnsi="Times New Roman" w:cs="Times New Roman"/>
          <w:color w:val="000000" w:themeColor="text1"/>
          <w:szCs w:val="21"/>
          <w:lang w:eastAsia="zh-CN"/>
          <w14:textFill>
            <w14:solidFill>
              <w14:schemeClr w14:val="tx1"/>
            </w14:solidFill>
          </w14:textFill>
        </w:rPr>
        <w:t>、</w:t>
      </w:r>
      <w:r>
        <w:rPr>
          <w:rFonts w:hint="eastAsia" w:ascii="Times New Roman" w:hAnsi="Times New Roman" w:cs="Times New Roman"/>
          <w:color w:val="000000" w:themeColor="text1"/>
          <w:szCs w:val="21"/>
          <w:lang w:val="en-US" w:eastAsia="zh-CN"/>
          <w14:textFill>
            <w14:solidFill>
              <w14:schemeClr w14:val="tx1"/>
            </w14:solidFill>
          </w14:textFill>
        </w:rPr>
        <w:t>培训</w:t>
      </w:r>
      <w:r>
        <w:rPr>
          <w:rFonts w:hint="eastAsia" w:ascii="Times New Roman" w:hAnsi="Times New Roman" w:cs="Times New Roman"/>
          <w:color w:val="000000" w:themeColor="text1"/>
          <w:szCs w:val="21"/>
          <w14:textFill>
            <w14:solidFill>
              <w14:schemeClr w14:val="tx1"/>
            </w14:solidFill>
          </w14:textFill>
        </w:rPr>
        <w:t>及所需的附属材料（如需）</w:t>
      </w:r>
      <w:r>
        <w:rPr>
          <w:rFonts w:ascii="Times New Roman" w:hAnsi="Times New Roman" w:cs="Times New Roman"/>
          <w:color w:val="000000" w:themeColor="text1"/>
          <w:szCs w:val="21"/>
          <w14:textFill>
            <w14:solidFill>
              <w14:schemeClr w14:val="tx1"/>
            </w14:solidFill>
          </w14:textFill>
        </w:rPr>
        <w:t>、报检验收</w:t>
      </w:r>
      <w:r>
        <w:rPr>
          <w:rFonts w:hint="eastAsia" w:ascii="Times New Roman" w:hAnsi="Times New Roman" w:cs="Times New Roman"/>
          <w:color w:val="000000" w:themeColor="text1"/>
          <w:szCs w:val="21"/>
          <w14:textFill>
            <w14:solidFill>
              <w14:schemeClr w14:val="tx1"/>
            </w14:solidFill>
          </w14:textFill>
        </w:rPr>
        <w:t>、利润、税费等</w:t>
      </w:r>
      <w:r>
        <w:rPr>
          <w:rFonts w:ascii="Times New Roman" w:hAnsi="Times New Roman" w:cs="Times New Roman"/>
          <w:color w:val="000000" w:themeColor="text1"/>
          <w:szCs w:val="21"/>
          <w14:textFill>
            <w14:solidFill>
              <w14:schemeClr w14:val="tx1"/>
            </w14:solidFill>
          </w14:textFill>
        </w:rPr>
        <w:t>一切相关费用。</w:t>
      </w:r>
    </w:p>
    <w:p w14:paraId="4C098D4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1982A086">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06AA898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2595F6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7F793E4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798758DC">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315399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3E65F9C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03313078">
      <w:pPr>
        <w:widowControl/>
        <w:adjustRightInd w:val="0"/>
        <w:snapToGrid w:val="0"/>
        <w:spacing w:line="400" w:lineRule="atLeast"/>
        <w:ind w:firstLine="420" w:firstLineChars="200"/>
        <w:jc w:val="left"/>
        <w:rPr>
          <w:rFonts w:ascii="宋体" w:hAnsi="宋体" w:eastAsia="宋体" w:cs="宋体"/>
          <w:kern w:val="0"/>
          <w:szCs w:val="21"/>
        </w:rPr>
      </w:pPr>
      <w:r>
        <w:rPr>
          <w:rFonts w:hint="eastAsia" w:asciiTheme="minorEastAsia" w:hAnsiTheme="minorEastAsia" w:cstheme="minorEastAsia"/>
          <w:color w:val="333333"/>
          <w:kern w:val="0"/>
          <w:szCs w:val="21"/>
          <w:highlight w:val="none"/>
        </w:rPr>
        <w:t>6.1所购</w:t>
      </w:r>
      <w:r>
        <w:rPr>
          <w:rFonts w:hint="eastAsia" w:asciiTheme="minorEastAsia" w:hAnsiTheme="minorEastAsia" w:cstheme="minorEastAsia"/>
          <w:color w:val="333333"/>
          <w:kern w:val="0"/>
          <w:szCs w:val="21"/>
          <w:highlight w:val="none"/>
          <w:lang w:val="en-US" w:eastAsia="zh-CN"/>
        </w:rPr>
        <w:t>货物</w:t>
      </w:r>
      <w:r>
        <w:rPr>
          <w:rFonts w:hint="eastAsia" w:asciiTheme="minorEastAsia" w:hAnsiTheme="minorEastAsia" w:cstheme="minorEastAsia"/>
          <w:color w:val="333333"/>
          <w:kern w:val="0"/>
          <w:szCs w:val="21"/>
          <w:highlight w:val="none"/>
        </w:rPr>
        <w:t>送到询价单位指定交付地点经验收合格并开具销售增值税专用发票，</w:t>
      </w:r>
      <w:r>
        <w:rPr>
          <w:rFonts w:hint="eastAsia" w:asciiTheme="minorEastAsia" w:hAnsiTheme="minorEastAsia" w:cstheme="minorEastAsia"/>
          <w:szCs w:val="21"/>
          <w:highlight w:val="none"/>
        </w:rPr>
        <w:t>交接验收</w:t>
      </w:r>
      <w:r>
        <w:rPr>
          <w:rFonts w:hint="eastAsia" w:asciiTheme="minorEastAsia" w:hAnsiTheme="minorEastAsia" w:cstheme="minorEastAsia"/>
          <w:szCs w:val="21"/>
          <w:highlight w:val="none"/>
          <w:lang w:val="en-US" w:eastAsia="zh-CN"/>
        </w:rPr>
        <w:t>合格后30</w:t>
      </w:r>
      <w:r>
        <w:rPr>
          <w:rFonts w:hint="eastAsia" w:asciiTheme="minorEastAsia" w:hAnsiTheme="minorEastAsia" w:cstheme="minorEastAsia"/>
          <w:szCs w:val="21"/>
          <w:highlight w:val="none"/>
        </w:rPr>
        <w:t>个工作日内，</w:t>
      </w:r>
      <w:r>
        <w:rPr>
          <w:rFonts w:hint="eastAsia" w:ascii="宋体" w:hAnsi="宋体" w:eastAsia="宋体" w:cs="宋体"/>
          <w:kern w:val="0"/>
          <w:szCs w:val="21"/>
          <w:highlight w:val="none"/>
          <w:lang w:val="en-US" w:eastAsia="zh-CN"/>
        </w:rPr>
        <w:t>一次性付款</w:t>
      </w:r>
      <w:r>
        <w:rPr>
          <w:rFonts w:hint="eastAsia" w:ascii="宋体" w:hAnsi="宋体" w:eastAsia="宋体" w:cs="宋体"/>
          <w:kern w:val="0"/>
          <w:szCs w:val="21"/>
        </w:rPr>
        <w:t>。</w:t>
      </w:r>
    </w:p>
    <w:p w14:paraId="18D5A8E9">
      <w:pPr>
        <w:pStyle w:val="5"/>
      </w:pPr>
    </w:p>
    <w:p w14:paraId="6EE2BC83">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49A37D4F">
      <w:pPr>
        <w:pStyle w:val="9"/>
        <w:ind w:firstLine="409" w:firstLineChars="195"/>
        <w:rPr>
          <w:rFonts w:asciiTheme="minorEastAsia" w:hAnsiTheme="minorEastAsia" w:cstheme="minorEastAsia"/>
          <w:szCs w:val="21"/>
        </w:rPr>
      </w:pPr>
      <w:r>
        <w:rPr>
          <w:rFonts w:hint="eastAsia" w:asciiTheme="minorEastAsia" w:hAnsiTheme="minorEastAsia" w:cstheme="minorEastAsia"/>
          <w:szCs w:val="21"/>
        </w:rPr>
        <w:t>账户名：</w:t>
      </w:r>
    </w:p>
    <w:p w14:paraId="32080439">
      <w:pPr>
        <w:pStyle w:val="9"/>
        <w:rPr>
          <w:rFonts w:asciiTheme="minorEastAsia" w:hAnsiTheme="minorEastAsia" w:cstheme="minorEastAsia"/>
          <w:szCs w:val="21"/>
        </w:rPr>
      </w:pPr>
    </w:p>
    <w:p w14:paraId="37BFA732">
      <w:pPr>
        <w:pStyle w:val="9"/>
        <w:ind w:firstLine="409" w:firstLineChars="195"/>
        <w:rPr>
          <w:rFonts w:asciiTheme="minorEastAsia" w:hAnsiTheme="minorEastAsia" w:cstheme="minorEastAsia"/>
          <w:szCs w:val="21"/>
        </w:rPr>
      </w:pPr>
      <w:r>
        <w:rPr>
          <w:rFonts w:hint="eastAsia" w:asciiTheme="minorEastAsia" w:hAnsiTheme="minorEastAsia" w:cstheme="minorEastAsia"/>
          <w:szCs w:val="21"/>
        </w:rPr>
        <w:t>账号：</w:t>
      </w:r>
    </w:p>
    <w:p w14:paraId="15BE4FFD">
      <w:pPr>
        <w:pStyle w:val="9"/>
        <w:rPr>
          <w:rFonts w:asciiTheme="minorEastAsia" w:hAnsiTheme="minorEastAsia" w:cstheme="minorEastAsia"/>
          <w:szCs w:val="21"/>
        </w:rPr>
      </w:pPr>
    </w:p>
    <w:p w14:paraId="07097F01">
      <w:pPr>
        <w:pStyle w:val="9"/>
        <w:ind w:firstLine="409" w:firstLineChars="195"/>
        <w:rPr>
          <w:rFonts w:asciiTheme="minorEastAsia" w:hAnsiTheme="minorEastAsia" w:cstheme="minorEastAsia"/>
          <w:szCs w:val="21"/>
        </w:rPr>
      </w:pPr>
      <w:r>
        <w:rPr>
          <w:rFonts w:hint="eastAsia" w:asciiTheme="minorEastAsia" w:hAnsiTheme="minorEastAsia" w:cstheme="minorEastAsia"/>
          <w:szCs w:val="21"/>
        </w:rPr>
        <w:t>开户行：</w:t>
      </w:r>
    </w:p>
    <w:p w14:paraId="3E6F76BE">
      <w:pPr>
        <w:pStyle w:val="9"/>
        <w:rPr>
          <w:rFonts w:asciiTheme="minorEastAsia" w:hAnsiTheme="minorEastAsia" w:cstheme="minorEastAsia"/>
          <w:szCs w:val="21"/>
        </w:rPr>
      </w:pPr>
    </w:p>
    <w:p w14:paraId="255DB71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27A15D03">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6D88732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558D9C2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2FFD62A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30821E3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15DD72F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68A1633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0114E7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74EE9D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C58E34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51D42C7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5341B4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42C9BCE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58E908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359006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235BA8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18DC9F98">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14:paraId="0970319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8ADC61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12A4E42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6930C26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621DEA1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7A2452F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2353B75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7F69841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7D51427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9A9F19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6527D6F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4357A861">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E2EB45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119B58D1">
      <w:pPr>
        <w:spacing w:line="360" w:lineRule="auto"/>
        <w:ind w:firstLine="420" w:firstLineChars="200"/>
        <w:rPr>
          <w:rFonts w:hint="default" w:ascii="Times New Roman" w:hAnsi="Times New Roman" w:eastAsia="宋体" w:cs="Times New Roman"/>
          <w:sz w:val="21"/>
          <w:szCs w:val="21"/>
        </w:rPr>
      </w:pPr>
      <w:r>
        <w:rPr>
          <w:rFonts w:hint="eastAsia" w:ascii="宋体" w:hAnsi="宋体" w:eastAsia="宋体" w:cs="宋体"/>
          <w:sz w:val="21"/>
          <w:szCs w:val="21"/>
        </w:rPr>
        <w:t>本合同项下所发生的争议，由双方协商解决，协商不成的，</w:t>
      </w:r>
      <w:r>
        <w:rPr>
          <w:rFonts w:hint="eastAsia" w:ascii="Times New Roman" w:hAnsi="Times New Roman" w:cs="Times New Roman"/>
          <w:sz w:val="21"/>
          <w:szCs w:val="21"/>
          <w:lang w:eastAsia="zh-CN"/>
        </w:rPr>
        <w:t>依法</w:t>
      </w:r>
      <w:r>
        <w:rPr>
          <w:rFonts w:hint="default" w:ascii="Times New Roman" w:hAnsi="Times New Roman" w:eastAsia="宋体" w:cs="Times New Roman"/>
          <w:sz w:val="21"/>
          <w:szCs w:val="21"/>
        </w:rPr>
        <w:t>向甲方所在地</w:t>
      </w:r>
      <w:r>
        <w:rPr>
          <w:rFonts w:hint="eastAsia" w:ascii="Times New Roman" w:hAnsi="Times New Roman" w:cs="Times New Roman"/>
          <w:sz w:val="21"/>
          <w:szCs w:val="21"/>
          <w:lang w:eastAsia="zh-CN"/>
        </w:rPr>
        <w:t>有管辖权的</w:t>
      </w:r>
      <w:r>
        <w:rPr>
          <w:rFonts w:hint="default" w:ascii="Times New Roman" w:hAnsi="Times New Roman" w:eastAsia="宋体" w:cs="Times New Roman"/>
          <w:sz w:val="21"/>
          <w:szCs w:val="21"/>
        </w:rPr>
        <w:t>人民法院提起诉讼解决。</w:t>
      </w:r>
    </w:p>
    <w:p w14:paraId="07BCD12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F28981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7EBFACC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0B07A56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D4C252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5034FA59">
      <w:pPr>
        <w:spacing w:line="360" w:lineRule="auto"/>
        <w:ind w:firstLine="420" w:firstLineChars="200"/>
        <w:rPr>
          <w:rFonts w:ascii="Times New Roman" w:hAnsi="Times New Roman" w:cs="Times New Roman"/>
          <w:szCs w:val="21"/>
        </w:rPr>
      </w:pPr>
    </w:p>
    <w:p w14:paraId="19F0DD3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0EE638D7">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4F566D75">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3A01FE7E">
      <w:pPr>
        <w:spacing w:line="360" w:lineRule="auto"/>
        <w:ind w:firstLine="420" w:firstLineChars="200"/>
        <w:rPr>
          <w:rFonts w:ascii="Times New Roman" w:hAnsi="Times New Roman" w:cs="Times New Roman"/>
          <w:szCs w:val="21"/>
        </w:rPr>
      </w:pPr>
    </w:p>
    <w:p w14:paraId="024E19B2">
      <w:pPr>
        <w:pStyle w:val="3"/>
        <w:numPr>
          <w:ilvl w:val="0"/>
          <w:numId w:val="0"/>
        </w:numPr>
        <w:ind w:left="417" w:leftChars="0"/>
      </w:pPr>
    </w:p>
    <w:p w14:paraId="03271DE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7C05D4A8">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3C7E38D0">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2F8673E">
      <w:pPr>
        <w:rPr>
          <w:rFonts w:ascii="Times New Roman" w:hAnsi="Times New Roman" w:cs="Times New Roman"/>
        </w:rPr>
      </w:pPr>
    </w:p>
    <w:p w14:paraId="3A2C7896">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FEDEFDF">
      <w:pPr>
        <w:pStyle w:val="2"/>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tbl>
      <w:tblPr>
        <w:tblStyle w:val="15"/>
        <w:tblW w:w="585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73"/>
        <w:gridCol w:w="2131"/>
        <w:gridCol w:w="6710"/>
        <w:gridCol w:w="1701"/>
      </w:tblGrid>
      <w:tr w14:paraId="5C6F4D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noWrap w:val="0"/>
            <w:vAlign w:val="center"/>
          </w:tcPr>
          <w:p w14:paraId="298D564C">
            <w:pPr>
              <w:snapToGrid w:val="0"/>
              <w:spacing w:line="240" w:lineRule="auto"/>
              <w:jc w:val="center"/>
              <w:rPr>
                <w:rFonts w:ascii="宋体" w:hAnsi="宋体" w:cs="ˎ̥"/>
                <w:b/>
                <w:sz w:val="18"/>
                <w:szCs w:val="18"/>
              </w:rPr>
            </w:pPr>
            <w:r>
              <w:rPr>
                <w:rFonts w:hint="eastAsia" w:ascii="宋体" w:hAnsi="宋体" w:cs="ˎ̥"/>
                <w:b/>
                <w:sz w:val="18"/>
                <w:szCs w:val="18"/>
              </w:rPr>
              <w:t>序号</w:t>
            </w:r>
          </w:p>
        </w:tc>
        <w:tc>
          <w:tcPr>
            <w:tcW w:w="950" w:type="pct"/>
            <w:noWrap w:val="0"/>
            <w:vAlign w:val="center"/>
          </w:tcPr>
          <w:p w14:paraId="7491E801">
            <w:pPr>
              <w:snapToGrid w:val="0"/>
              <w:spacing w:line="240" w:lineRule="auto"/>
              <w:jc w:val="center"/>
              <w:rPr>
                <w:rFonts w:ascii="宋体" w:hAnsi="宋体" w:cs="ˎ̥"/>
                <w:b/>
                <w:sz w:val="18"/>
                <w:szCs w:val="18"/>
              </w:rPr>
            </w:pPr>
            <w:r>
              <w:rPr>
                <w:rFonts w:hint="eastAsia" w:ascii="宋体" w:hAnsi="宋体" w:cs="ˎ̥"/>
                <w:b/>
                <w:sz w:val="18"/>
                <w:szCs w:val="18"/>
              </w:rPr>
              <w:t>货物名称</w:t>
            </w:r>
          </w:p>
        </w:tc>
        <w:tc>
          <w:tcPr>
            <w:tcW w:w="2991" w:type="pct"/>
            <w:noWrap w:val="0"/>
            <w:vAlign w:val="center"/>
          </w:tcPr>
          <w:p w14:paraId="2A1B4CE4">
            <w:pPr>
              <w:snapToGrid w:val="0"/>
              <w:spacing w:line="240" w:lineRule="auto"/>
              <w:jc w:val="center"/>
              <w:rPr>
                <w:rFonts w:ascii="宋体" w:hAnsi="宋体" w:cs="ˎ̥"/>
                <w:b/>
                <w:sz w:val="18"/>
                <w:szCs w:val="18"/>
              </w:rPr>
            </w:pPr>
            <w:r>
              <w:rPr>
                <w:rFonts w:hint="eastAsia" w:ascii="宋体" w:hAnsi="宋体" w:cs="ˎ̥"/>
                <w:b/>
                <w:sz w:val="18"/>
                <w:szCs w:val="18"/>
              </w:rPr>
              <w:t xml:space="preserve">技术参数 </w:t>
            </w:r>
          </w:p>
        </w:tc>
        <w:tc>
          <w:tcPr>
            <w:tcW w:w="758" w:type="pct"/>
            <w:noWrap w:val="0"/>
            <w:vAlign w:val="center"/>
          </w:tcPr>
          <w:p w14:paraId="76F9BBC5">
            <w:pPr>
              <w:snapToGrid w:val="0"/>
              <w:spacing w:line="240" w:lineRule="auto"/>
              <w:jc w:val="center"/>
              <w:rPr>
                <w:rFonts w:ascii="宋体" w:hAnsi="宋体" w:cs="ˎ̥"/>
                <w:b/>
                <w:sz w:val="18"/>
                <w:szCs w:val="18"/>
              </w:rPr>
            </w:pPr>
            <w:r>
              <w:rPr>
                <w:rFonts w:hint="eastAsia" w:ascii="宋体" w:hAnsi="宋体" w:cs="ˎ̥"/>
                <w:b/>
                <w:sz w:val="18"/>
                <w:szCs w:val="18"/>
              </w:rPr>
              <w:t>数量</w:t>
            </w:r>
          </w:p>
        </w:tc>
      </w:tr>
      <w:tr w14:paraId="439C41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25FFEE3E">
            <w:pPr>
              <w:widowControl/>
              <w:snapToGrid w:val="0"/>
              <w:spacing w:line="240" w:lineRule="auto"/>
              <w:jc w:val="center"/>
              <w:rPr>
                <w:rFonts w:ascii="宋体" w:hAnsi="宋体" w:cs="ˎ̥"/>
                <w:szCs w:val="21"/>
              </w:rPr>
            </w:pPr>
            <w:r>
              <w:rPr>
                <w:rFonts w:hint="eastAsia" w:ascii="宋体" w:hAnsi="宋体" w:cs="宋体"/>
                <w:bCs/>
                <w:szCs w:val="21"/>
              </w:rPr>
              <w:t>1</w:t>
            </w:r>
          </w:p>
        </w:tc>
        <w:tc>
          <w:tcPr>
            <w:tcW w:w="950" w:type="pct"/>
            <w:shd w:val="clear" w:color="auto" w:fill="FFFFFF"/>
            <w:noWrap w:val="0"/>
            <w:vAlign w:val="center"/>
          </w:tcPr>
          <w:p w14:paraId="561C48AD">
            <w:pPr>
              <w:spacing w:line="240" w:lineRule="auto"/>
              <w:jc w:val="center"/>
              <w:rPr>
                <w:rFonts w:ascii="宋体" w:hAnsi="宋体" w:cs="宋体"/>
                <w:color w:val="000000"/>
                <w:szCs w:val="21"/>
              </w:rPr>
            </w:pPr>
            <w:r>
              <w:rPr>
                <w:rFonts w:hint="eastAsia" w:ascii="宋体" w:hAnsi="宋体" w:cs="宋体"/>
                <w:color w:val="000000"/>
                <w:szCs w:val="21"/>
              </w:rPr>
              <w:t>室内全彩LED显示屏</w:t>
            </w:r>
          </w:p>
        </w:tc>
        <w:tc>
          <w:tcPr>
            <w:tcW w:w="2991" w:type="pct"/>
            <w:shd w:val="clear" w:color="auto" w:fill="FFFFFF"/>
            <w:noWrap w:val="0"/>
            <w:vAlign w:val="center"/>
          </w:tcPr>
          <w:p w14:paraId="58F8803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1、像素点间距：≤1.5mm</w:t>
            </w:r>
          </w:p>
          <w:p w14:paraId="7768511B">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2、单元板分辨率：≥21632Dots</w:t>
            </w:r>
          </w:p>
          <w:p w14:paraId="4DA034D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3、刷新率：≥4200Hz，支持通过配套控制软件调节刷新率设置选项</w:t>
            </w:r>
          </w:p>
          <w:p w14:paraId="69F56FA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4、整屏平整度≤0.04mm</w:t>
            </w:r>
          </w:p>
          <w:p w14:paraId="6B54399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5、白平衡亮度：0-820cd/㎡可调；亮度调节：0-100%亮度可调，256级手动/自动调节，屏幕亮度具有随环境照度的变化任意调整功能；亮度均匀性≥99%</w:t>
            </w:r>
          </w:p>
          <w:p w14:paraId="5A05638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6、色温800K-20000K可调；白平衡状态下色温在6500K±5%；色温为6500K时，100%75%50%25%档电平白场调节色温误差≤100K</w:t>
            </w:r>
          </w:p>
          <w:p w14:paraId="45C4799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7、水平视角≥175°；垂直视角≥175°</w:t>
            </w:r>
          </w:p>
          <w:p w14:paraId="39D2024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8、▲对比度≥10000：1</w:t>
            </w:r>
          </w:p>
          <w:p w14:paraId="2647599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9、灰度等级≥16bit，红绿蓝各256级，可达65536级；采用EPWM 灰阶控制技术提升低灰视觉效果，100%亮度时，16bit灰度；70%亮度，16bit灰度；50%亮度，16bit灰度；20%亮度，14bit灰度，显示画面无单列或单行像素失控现象；支持0-100%亮度时，8-16bits灰度自定义设置</w:t>
            </w:r>
          </w:p>
          <w:p w14:paraId="13590CA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10、峰值功耗≤250W/m²；平均功耗≤100W/m²</w:t>
            </w:r>
          </w:p>
          <w:p w14:paraId="0F27462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11、供电电源：在4.2*（1±10%）VDC～4.5*（1±10%）VDC范围内能正常工作</w:t>
            </w:r>
          </w:p>
          <w:p w14:paraId="3F334CF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12、输入电压：支持宽压输入 在96-264VAC，支持窄压输入在200-240VAC，在该范围内能正常工作</w:t>
            </w:r>
          </w:p>
          <w:p w14:paraId="0D96BF8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13、防护性能：具有防静电、防电磁干扰、防腐蚀、防霉菌、防虫、防潮、抗震动、抗雷击等功能；具有电源过压、过流、断电保护、分布上电措施、防护等级达到IP60</w:t>
            </w:r>
          </w:p>
          <w:p w14:paraId="2B953F1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14、为不影响屏体周边人员的健康，要求投标人所投LED显示屏在正常工作中，显示屏1m范围内，前后左右4个位置噪音不大于1.4dB；所投LED显示屏观看舒适度需符合：“人眼视觉舒适度(VICO)1级，基本无疲劳感。</w:t>
            </w:r>
          </w:p>
          <w:p w14:paraId="5551C10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15、所投LED显示屏的灯管耐焊耐热：灯珠引脚无氧化,焊接正常,灯珠胶体正常,点亮正常；灯管抗静电(ESD)测试：HBM模式:ESD&gt;2000V,灯珠点亮无异常；灯管红墨水试验：纯红墨水常温浸泡24h,无渗透,灯管气密性良好。</w:t>
            </w:r>
          </w:p>
          <w:p w14:paraId="13A015B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16、要求投标人所投LED显示屏支持DVI、VGA、SDI输入、支持HDMI视频输入、支持视频PAL/NTSC制式自适应、支持复合视频信号、支持USB输入、支持IP输入、支持CVBS/DP/HDBASE输入、支持光纤/网络等接口输入。</w:t>
            </w:r>
          </w:p>
          <w:p w14:paraId="35A94028">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17、防电击等级依据GB4943.1标准，使用基本绝缘作为基本安全防护，同时使用保护连接和保护接地作为附加安全防护，达到防电击保护I类设备</w:t>
            </w:r>
          </w:p>
          <w:p w14:paraId="1F00586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18、产品采用高端芯片，可智能调节正常工作与睡眠状态下的节能效果（动态节能，智能息屏），开启智能节电功能比没有开启，节能55%以上。</w:t>
            </w:r>
          </w:p>
          <w:p w14:paraId="0194AC5B">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19、长时间没有使用屏体，屏体自动切入除湿模式，通过预热灯珠，蒸发掉灯珠内部湿气，使屏体从10%到100%亮度逐步显示，达到保护LED灯</w:t>
            </w:r>
          </w:p>
          <w:p w14:paraId="3269A5D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具有SELV电路，在SELV电路中任何两个导体之间或任何一个这样的导体和地之间的电压的限值为：正常工作条件下，不超过42.4V交流峰值或60V直流值单一故障条件下，在200ms后不超过42.4V（30V有效值）交流峰值或60V直流值，并且在200ms内其极限值不超过71V（50V有效值）交流峰值或120V直流值</w:t>
            </w:r>
          </w:p>
          <w:p w14:paraId="35A49C0A">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21、▲支持手机、平板可视化控制LED大屏，切换播放内容，定制播放计划等；支持手机添加LOGO、时间、日期、文字标语、滚动字幕、图片、视频窗口；支持分屏操作。支持任意比例拼接素材和多图层叠加；支持无线遥控、手机遥控，一键切换视频；支持与智能播控软件一键IP连接。</w:t>
            </w:r>
          </w:p>
          <w:p w14:paraId="37DA10DB">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22、显示屏所使用的材料及元器件均符合《SJ/T11363-2016电子信息产品中有毒有害物质的限定要求》符合环保要求的相关声明，根据《GB/T27050.1-2006合格评定供方的符合性声明第1部分：通用要求》 和《GB/T27050.2-2006合格评定供方的符合性声明第2部分：支持性文件》</w:t>
            </w:r>
          </w:p>
          <w:p w14:paraId="10CAB71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23、支持鬼影消除、首行暗亮消除、低灰偏色补偿、低灰均匀性、低灰横条纹消除、慢速开启、十字架消除、去坏点、毛毛虫消除、余辉消除、亮度缓慢变亮功能</w:t>
            </w:r>
          </w:p>
          <w:p w14:paraId="65A4B01C">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24、为保证产品使用安全，静电电压衰减期（±1000-±100V）≤2S；摩擦起电电压|V|≤100V</w:t>
            </w:r>
          </w:p>
          <w:p w14:paraId="603AD47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25、为保证产品信息传输稳定性，辐射干扰和传导干扰，均需符合GB/T9254-2021 ClassB限值要求</w:t>
            </w:r>
          </w:p>
          <w:p w14:paraId="53248AB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注：以上1-25技术参数需提供由第三方权威检测机构出具带有“CNAS”、“CMA”、“ilac-MRA”标志的检测报告（提供相关证书复印件并加盖制造商公章），未提供相应证明材料的不计算得分。</w:t>
            </w:r>
          </w:p>
          <w:p w14:paraId="74E59B3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★LED显示屏须提供本产品的3C认证证书复印件或扫描件附在响应文件中，不提供按无效标处理。</w:t>
            </w:r>
          </w:p>
          <w:p w14:paraId="48A7076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每块屏幕尺寸：4米*2米，产品包含电子屏全套配件及辅材，包括运输、本体安装、现场规范移交对接培训和基本操作培训；含配套所有线材；包括一年内免费上门售后服务、技术指导费、差旅费等所有调试及售后服务费用的全部内容。</w:t>
            </w:r>
          </w:p>
        </w:tc>
        <w:tc>
          <w:tcPr>
            <w:tcW w:w="758" w:type="pct"/>
            <w:noWrap w:val="0"/>
            <w:vAlign w:val="center"/>
          </w:tcPr>
          <w:p w14:paraId="0AD4DFB1">
            <w:pPr>
              <w:snapToGrid w:val="0"/>
              <w:spacing w:line="240" w:lineRule="auto"/>
              <w:jc w:val="center"/>
              <w:rPr>
                <w:rFonts w:ascii="宋体" w:hAnsi="宋体" w:cs="ˎ̥"/>
                <w:szCs w:val="21"/>
              </w:rPr>
            </w:pPr>
            <w:r>
              <w:rPr>
                <w:rFonts w:ascii="宋体" w:hAnsi="宋体" w:cs="ˎ̥"/>
                <w:szCs w:val="21"/>
              </w:rPr>
              <w:t>2</w:t>
            </w:r>
            <w:r>
              <w:rPr>
                <w:rFonts w:hint="eastAsia" w:ascii="宋体" w:hAnsi="宋体" w:cs="ˎ̥"/>
                <w:szCs w:val="21"/>
              </w:rPr>
              <w:t>块</w:t>
            </w:r>
          </w:p>
        </w:tc>
      </w:tr>
      <w:tr w14:paraId="0C9016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21B5CB6F">
            <w:pPr>
              <w:widowControl/>
              <w:snapToGrid w:val="0"/>
              <w:spacing w:line="240" w:lineRule="auto"/>
              <w:jc w:val="center"/>
              <w:rPr>
                <w:rFonts w:ascii="宋体" w:hAnsi="宋体" w:cs="宋体"/>
                <w:bCs/>
                <w:szCs w:val="21"/>
              </w:rPr>
            </w:pPr>
            <w:r>
              <w:rPr>
                <w:rFonts w:hint="eastAsia" w:ascii="宋体" w:hAnsi="宋体" w:cs="宋体"/>
                <w:bCs/>
                <w:szCs w:val="21"/>
              </w:rPr>
              <w:t>2</w:t>
            </w:r>
          </w:p>
        </w:tc>
        <w:tc>
          <w:tcPr>
            <w:tcW w:w="950" w:type="pct"/>
            <w:shd w:val="clear" w:color="auto" w:fill="FFFFFF"/>
            <w:noWrap w:val="0"/>
            <w:vAlign w:val="center"/>
          </w:tcPr>
          <w:p w14:paraId="4E06784D">
            <w:pPr>
              <w:spacing w:line="240" w:lineRule="auto"/>
              <w:jc w:val="center"/>
              <w:rPr>
                <w:rFonts w:ascii="宋体" w:hAnsi="宋体" w:cs="宋体"/>
                <w:color w:val="000000"/>
                <w:szCs w:val="21"/>
              </w:rPr>
            </w:pPr>
            <w:r>
              <w:rPr>
                <w:rFonts w:hint="eastAsia" w:ascii="宋体" w:hAnsi="宋体" w:cs="宋体"/>
                <w:color w:val="000000"/>
                <w:szCs w:val="21"/>
              </w:rPr>
              <w:t>室内单红LED显示屏</w:t>
            </w:r>
          </w:p>
        </w:tc>
        <w:tc>
          <w:tcPr>
            <w:tcW w:w="2991" w:type="pct"/>
            <w:shd w:val="clear" w:color="auto" w:fill="FFFFFF"/>
            <w:noWrap w:val="0"/>
            <w:vAlign w:val="center"/>
          </w:tcPr>
          <w:p w14:paraId="2E0F03B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1、点间距：4.75mm；</w:t>
            </w:r>
          </w:p>
          <w:p w14:paraId="6E55E74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2、发光点颜色：红色；</w:t>
            </w:r>
          </w:p>
          <w:p w14:paraId="0D7BD1F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3、密度：44321点/m2；</w:t>
            </w:r>
          </w:p>
          <w:p w14:paraId="55BA7DE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4、单元板尺寸：304㎜×152㎜；</w:t>
            </w:r>
          </w:p>
          <w:p w14:paraId="577C660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5、分辨率 ：64×32点；                                                                                                                                                                 6、平均功耗 ：300W/m2；</w:t>
            </w:r>
          </w:p>
          <w:p w14:paraId="74EFA38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7、显示控制方式：异步；</w:t>
            </w:r>
          </w:p>
          <w:p w14:paraId="2FE1E9B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8、驱动器件：LED专用驱动器件；</w:t>
            </w:r>
          </w:p>
          <w:p w14:paraId="345F8A7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9、驱动方式: 1/16扫描；</w:t>
            </w:r>
          </w:p>
          <w:p w14:paraId="217E8F2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10、含配套异步控制系统；屏体支架、包边：4.2平方横条屏壁挂安装、轻质龙骨及铝型材包边、钢架结构整体美观整齐、牢固稳定内容；配套所有线材；</w:t>
            </w:r>
          </w:p>
          <w:p w14:paraId="5EDDA61A">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12、屏体现场复核、安装调试、产品交付，安全防范标准、技术和工艺标准；现场规范移交对接培训和基本操作培训；包括对横条屏的一年内免费上门售后服务、技术指导费、差旅费等所有调试及售后服务费用；</w:t>
            </w:r>
          </w:p>
          <w:p w14:paraId="268D87B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13、含所有配套管、线费用； </w:t>
            </w:r>
          </w:p>
          <w:p w14:paraId="0133959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屏幕尺寸：12米*0.6米，产品包含电子屏全套配件及辅材，包括运输、本体安装、现场规范移交对接培训和基本操作培训；含配套所有线材；包括一年内免费上门售后服务、技术指导费、差旅费等所有调试及售后服务费用的全部内容。</w:t>
            </w:r>
          </w:p>
        </w:tc>
        <w:tc>
          <w:tcPr>
            <w:tcW w:w="758" w:type="pct"/>
            <w:noWrap w:val="0"/>
            <w:vAlign w:val="center"/>
          </w:tcPr>
          <w:p w14:paraId="1152FFDB">
            <w:pPr>
              <w:snapToGrid w:val="0"/>
              <w:spacing w:line="240" w:lineRule="auto"/>
              <w:ind w:left="368" w:hanging="368"/>
              <w:jc w:val="center"/>
              <w:rPr>
                <w:rFonts w:ascii="宋体" w:hAnsi="宋体"/>
                <w:szCs w:val="21"/>
              </w:rPr>
            </w:pPr>
            <w:r>
              <w:rPr>
                <w:rFonts w:hint="eastAsia" w:ascii="宋体" w:hAnsi="宋体"/>
                <w:szCs w:val="21"/>
              </w:rPr>
              <w:t>1块</w:t>
            </w:r>
          </w:p>
        </w:tc>
      </w:tr>
      <w:tr w14:paraId="346AA1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0E84DC9C">
            <w:pPr>
              <w:widowControl/>
              <w:snapToGrid w:val="0"/>
              <w:spacing w:line="240" w:lineRule="auto"/>
              <w:jc w:val="center"/>
              <w:rPr>
                <w:rFonts w:hint="eastAsia" w:ascii="宋体" w:hAnsi="宋体" w:cs="宋体"/>
                <w:bCs/>
                <w:szCs w:val="21"/>
              </w:rPr>
            </w:pPr>
            <w:r>
              <w:rPr>
                <w:rFonts w:hint="eastAsia" w:ascii="宋体" w:hAnsi="宋体" w:cs="宋体"/>
                <w:bCs/>
                <w:szCs w:val="21"/>
              </w:rPr>
              <w:t>3</w:t>
            </w:r>
          </w:p>
        </w:tc>
        <w:tc>
          <w:tcPr>
            <w:tcW w:w="950" w:type="pct"/>
            <w:shd w:val="clear" w:color="auto" w:fill="FFFFFF"/>
            <w:noWrap w:val="0"/>
            <w:vAlign w:val="center"/>
          </w:tcPr>
          <w:p w14:paraId="287A8318">
            <w:pPr>
              <w:spacing w:line="240" w:lineRule="auto"/>
              <w:jc w:val="center"/>
              <w:rPr>
                <w:rFonts w:hint="eastAsia"/>
              </w:rPr>
            </w:pPr>
            <w:r>
              <w:rPr>
                <w:rFonts w:hint="eastAsia"/>
              </w:rPr>
              <w:t>笔记本电脑</w:t>
            </w:r>
          </w:p>
        </w:tc>
        <w:tc>
          <w:tcPr>
            <w:tcW w:w="2991" w:type="pct"/>
            <w:shd w:val="clear" w:color="auto" w:fill="FFFFFF"/>
            <w:noWrap w:val="0"/>
            <w:vAlign w:val="top"/>
          </w:tcPr>
          <w:p w14:paraId="51A8901C">
            <w:pPr>
              <w:spacing w:line="240" w:lineRule="auto"/>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处理器：Ultra5-125H，内存：16，硬盘：1TB，显示器14英寸，系统Win11</w:t>
            </w:r>
          </w:p>
        </w:tc>
        <w:tc>
          <w:tcPr>
            <w:tcW w:w="758" w:type="pct"/>
            <w:noWrap w:val="0"/>
            <w:vAlign w:val="center"/>
          </w:tcPr>
          <w:p w14:paraId="01868FDB">
            <w:pPr>
              <w:snapToGrid w:val="0"/>
              <w:spacing w:line="240" w:lineRule="auto"/>
              <w:ind w:left="368" w:hanging="368"/>
              <w:jc w:val="center"/>
              <w:rPr>
                <w:rFonts w:hint="eastAsia" w:ascii="宋体" w:hAnsi="宋体"/>
                <w:szCs w:val="21"/>
              </w:rPr>
            </w:pPr>
            <w:r>
              <w:rPr>
                <w:rFonts w:hint="eastAsia" w:ascii="宋体" w:hAnsi="宋体"/>
                <w:szCs w:val="21"/>
              </w:rPr>
              <w:t>1台</w:t>
            </w:r>
          </w:p>
        </w:tc>
      </w:tr>
      <w:tr w14:paraId="59E66E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3129EF78">
            <w:pPr>
              <w:widowControl/>
              <w:snapToGrid w:val="0"/>
              <w:spacing w:line="240" w:lineRule="auto"/>
              <w:jc w:val="center"/>
              <w:rPr>
                <w:rFonts w:ascii="宋体" w:hAnsi="宋体" w:cs="宋体"/>
                <w:bCs/>
                <w:szCs w:val="21"/>
              </w:rPr>
            </w:pPr>
            <w:r>
              <w:rPr>
                <w:rFonts w:hint="eastAsia" w:ascii="宋体" w:hAnsi="宋体" w:cs="宋体"/>
                <w:bCs/>
                <w:szCs w:val="21"/>
              </w:rPr>
              <w:t>4</w:t>
            </w:r>
          </w:p>
        </w:tc>
        <w:tc>
          <w:tcPr>
            <w:tcW w:w="950" w:type="pct"/>
            <w:shd w:val="clear" w:color="auto" w:fill="FFFFFF"/>
            <w:noWrap w:val="0"/>
            <w:vAlign w:val="top"/>
          </w:tcPr>
          <w:p w14:paraId="1F0C2B2C">
            <w:pPr>
              <w:spacing w:line="240" w:lineRule="auto"/>
              <w:jc w:val="center"/>
              <w:rPr>
                <w:rFonts w:hint="eastAsia"/>
              </w:rPr>
            </w:pPr>
            <w:r>
              <w:rPr>
                <w:rFonts w:hint="eastAsia"/>
              </w:rPr>
              <w:t>会议音箱</w:t>
            </w:r>
          </w:p>
        </w:tc>
        <w:tc>
          <w:tcPr>
            <w:tcW w:w="2991" w:type="pct"/>
            <w:shd w:val="clear" w:color="auto" w:fill="FFFFFF"/>
            <w:noWrap w:val="0"/>
            <w:vAlign w:val="center"/>
          </w:tcPr>
          <w:p w14:paraId="3D37C84B">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xml:space="preserve">1、额定阻抗：8Ω； </w:t>
            </w:r>
          </w:p>
          <w:p w14:paraId="1EFED4FE">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2、额定功率：150W (AES)；</w:t>
            </w:r>
          </w:p>
          <w:p w14:paraId="2B7603A5">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3、额定频率范围：150Hz-18KHz；</w:t>
            </w:r>
          </w:p>
          <w:p w14:paraId="792D6FDC">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4、最大声压级：116dB（RMS）、122dB（PEAK）；</w:t>
            </w:r>
          </w:p>
          <w:p w14:paraId="51456F6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5、特性灵敏度：92dB/m/w ；</w:t>
            </w:r>
          </w:p>
          <w:p w14:paraId="36F33193">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6、覆盖角度：H120°×V60°；</w:t>
            </w:r>
          </w:p>
        </w:tc>
        <w:tc>
          <w:tcPr>
            <w:tcW w:w="758" w:type="pct"/>
            <w:noWrap w:val="0"/>
            <w:vAlign w:val="center"/>
          </w:tcPr>
          <w:p w14:paraId="5047E88B">
            <w:pPr>
              <w:spacing w:line="240" w:lineRule="auto"/>
              <w:jc w:val="center"/>
            </w:pPr>
            <w:r>
              <w:t>8</w:t>
            </w:r>
            <w:r>
              <w:rPr>
                <w:rFonts w:hint="eastAsia"/>
              </w:rPr>
              <w:t>只</w:t>
            </w:r>
          </w:p>
        </w:tc>
      </w:tr>
      <w:tr w14:paraId="54E0A8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2BF9ABF0">
            <w:pPr>
              <w:widowControl/>
              <w:snapToGrid w:val="0"/>
              <w:spacing w:line="240" w:lineRule="auto"/>
              <w:jc w:val="center"/>
              <w:rPr>
                <w:rFonts w:ascii="宋体" w:hAnsi="宋体" w:cs="宋体"/>
                <w:bCs/>
                <w:szCs w:val="21"/>
              </w:rPr>
            </w:pPr>
            <w:r>
              <w:rPr>
                <w:rFonts w:hint="eastAsia" w:ascii="宋体" w:hAnsi="宋体" w:cs="宋体"/>
                <w:bCs/>
                <w:szCs w:val="21"/>
              </w:rPr>
              <w:t>5</w:t>
            </w:r>
          </w:p>
        </w:tc>
        <w:tc>
          <w:tcPr>
            <w:tcW w:w="950" w:type="pct"/>
            <w:shd w:val="clear" w:color="auto" w:fill="FFFFFF"/>
            <w:noWrap w:val="0"/>
            <w:vAlign w:val="center"/>
          </w:tcPr>
          <w:p w14:paraId="3F067A60">
            <w:pPr>
              <w:spacing w:line="240" w:lineRule="auto"/>
              <w:jc w:val="center"/>
              <w:rPr>
                <w:rFonts w:hint="eastAsia"/>
              </w:rPr>
            </w:pPr>
            <w:r>
              <w:rPr>
                <w:rFonts w:hint="eastAsia"/>
              </w:rPr>
              <w:t>功放</w:t>
            </w:r>
          </w:p>
        </w:tc>
        <w:tc>
          <w:tcPr>
            <w:tcW w:w="2991" w:type="pct"/>
            <w:shd w:val="clear" w:color="auto" w:fill="FFFFFF"/>
            <w:noWrap w:val="0"/>
            <w:vAlign w:val="center"/>
          </w:tcPr>
          <w:p w14:paraId="53201C76">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1、两个XLR孔形卡侬输入插座，两个XLR孔形卡侬信号并接插座，两个SPEAKON输出快装接口；</w:t>
            </w:r>
          </w:p>
          <w:p w14:paraId="63A1640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★2、具有低通功能；提供实物功能接口图影印件或扫描件；</w:t>
            </w:r>
          </w:p>
          <w:p w14:paraId="6CE1F82A">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★3、具有桥接功能；提供实物功能接口图影印件或扫描件；</w:t>
            </w:r>
          </w:p>
          <w:p w14:paraId="00271793">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4、输出功率：2X300W/8Ω，2X450W/4Ω，桥接：900W/8Ω；</w:t>
            </w:r>
          </w:p>
          <w:p w14:paraId="2C3F6BBA">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5、频率响应：20Hz—20KHz±1dB；</w:t>
            </w:r>
          </w:p>
          <w:p w14:paraId="5D95E56F">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6、总谐波失真：THD≤0.1%（10%额定输出功率，1KHz）；</w:t>
            </w:r>
          </w:p>
          <w:p w14:paraId="5CDCBDFB">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7、输入灵敏度：0dBu(775mV)；</w:t>
            </w:r>
          </w:p>
          <w:p w14:paraId="6A50FAE8">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8、输入阻抗：平衡20KΩ，不平衡10KΩ；</w:t>
            </w:r>
          </w:p>
          <w:p w14:paraId="4FC6AC76">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9、信噪比（A计权）：≥100dB；</w:t>
            </w:r>
          </w:p>
          <w:p w14:paraId="4559CDE8">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10、阻尼系数：≥250；</w:t>
            </w:r>
          </w:p>
          <w:p w14:paraId="76B98057">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11、完整的LED工作状态指示灯（信号、峰值、保护、电源、桥接）；</w:t>
            </w:r>
          </w:p>
        </w:tc>
        <w:tc>
          <w:tcPr>
            <w:tcW w:w="758" w:type="pct"/>
            <w:noWrap w:val="0"/>
            <w:vAlign w:val="center"/>
          </w:tcPr>
          <w:p w14:paraId="1FA0986D">
            <w:pPr>
              <w:spacing w:line="240" w:lineRule="auto"/>
              <w:jc w:val="center"/>
            </w:pPr>
            <w:r>
              <w:t>6</w:t>
            </w:r>
            <w:r>
              <w:rPr>
                <w:rFonts w:hint="eastAsia"/>
              </w:rPr>
              <w:t>台</w:t>
            </w:r>
          </w:p>
        </w:tc>
      </w:tr>
      <w:tr w14:paraId="66037F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225FE997">
            <w:pPr>
              <w:widowControl/>
              <w:snapToGrid w:val="0"/>
              <w:spacing w:line="240" w:lineRule="auto"/>
              <w:jc w:val="center"/>
              <w:rPr>
                <w:rFonts w:ascii="宋体" w:hAnsi="宋体" w:cs="宋体"/>
                <w:bCs/>
                <w:szCs w:val="21"/>
              </w:rPr>
            </w:pPr>
            <w:r>
              <w:rPr>
                <w:rFonts w:hint="eastAsia" w:ascii="宋体" w:hAnsi="宋体" w:cs="宋体"/>
                <w:bCs/>
                <w:szCs w:val="21"/>
              </w:rPr>
              <w:t>6</w:t>
            </w:r>
          </w:p>
        </w:tc>
        <w:tc>
          <w:tcPr>
            <w:tcW w:w="950" w:type="pct"/>
            <w:shd w:val="clear" w:color="auto" w:fill="FFFFFF"/>
            <w:noWrap w:val="0"/>
            <w:vAlign w:val="center"/>
          </w:tcPr>
          <w:p w14:paraId="7143EFA2">
            <w:pPr>
              <w:spacing w:line="240" w:lineRule="auto"/>
              <w:jc w:val="center"/>
              <w:rPr>
                <w:rFonts w:hint="eastAsia"/>
              </w:rPr>
            </w:pPr>
            <w:r>
              <w:rPr>
                <w:rFonts w:hint="eastAsia"/>
              </w:rPr>
              <w:t>调音台</w:t>
            </w:r>
          </w:p>
        </w:tc>
        <w:tc>
          <w:tcPr>
            <w:tcW w:w="2991" w:type="pct"/>
            <w:shd w:val="clear" w:color="auto" w:fill="FFFFFF"/>
            <w:noWrap w:val="0"/>
            <w:vAlign w:val="center"/>
          </w:tcPr>
          <w:p w14:paraId="6063D758">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★1、音频输入：8路话筒/线路输入（COMBO  XLR孔型卡侬接口，兼容6.35插座），1组立体声输入（6.35插座），1组立体声音轨输入（RCA插座），1路USB，蓝牙输入，1-8路输入具备插入功能（6.35插座），1-8路输入具备低切功能；提供实物功能接口图影印件或扫描件；</w:t>
            </w:r>
          </w:p>
          <w:p w14:paraId="3FAD1C65">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★2、音频输出：2路主输出，2路编组输出，2路辅助输出，1路监听输出，1路耳机输出，1组录音输出；提供实物功能接口图影印件或扫描件；</w:t>
            </w:r>
          </w:p>
          <w:p w14:paraId="42E26D1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3、14个60㎜行程推子；</w:t>
            </w:r>
          </w:p>
          <w:p w14:paraId="68497F53">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4、效果可以发送至AUX1、编组1、2与立体声；</w:t>
            </w:r>
          </w:p>
          <w:p w14:paraId="2F60CAE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5、多媒体信号可以发送至AUX1、编组1、2与立体声；</w:t>
            </w:r>
          </w:p>
          <w:p w14:paraId="563B49E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6、内置多媒体播放器（配遥控器），支持蓝牙接收，USB声卡功能；</w:t>
            </w:r>
          </w:p>
          <w:p w14:paraId="58AA5825">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7、支持声控（话筒优先）；内置DSP效果器，预设99种DSP效果；支持通道监听；</w:t>
            </w:r>
          </w:p>
          <w:p w14:paraId="557681C8">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8、全中文操作界面，每路话放支持低切，辅助1支持推子前后切换；</w:t>
            </w:r>
          </w:p>
          <w:p w14:paraId="7436A586">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9、通道信号削峰指示灯，三色输出电平指示灯；</w:t>
            </w:r>
          </w:p>
          <w:p w14:paraId="76C9DEFB">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10、主输出7段图示均衡，单通道输入高、中、低三段均衡（中频带参量EQ），立体声输入高、低两段均衡，+48V幻象电源（分两组供电）；</w:t>
            </w:r>
          </w:p>
          <w:p w14:paraId="6E01CE1C">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11、频率响应：20Hz～20kHz（+1dB，-3dB）；</w:t>
            </w:r>
          </w:p>
          <w:p w14:paraId="7725C9C0">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12、总谐波失真：≤0.1%；</w:t>
            </w:r>
          </w:p>
          <w:p w14:paraId="3FF76BCB">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13、串音：&gt;60dB（@1kHz）；增益：≥70dB；最大输入电平：≥18dBu；最大输出电平：≥18dBu；</w:t>
            </w:r>
          </w:p>
        </w:tc>
        <w:tc>
          <w:tcPr>
            <w:tcW w:w="758" w:type="pct"/>
            <w:noWrap w:val="0"/>
            <w:vAlign w:val="center"/>
          </w:tcPr>
          <w:p w14:paraId="283F4696">
            <w:pPr>
              <w:spacing w:line="240" w:lineRule="auto"/>
              <w:jc w:val="center"/>
            </w:pPr>
            <w:r>
              <w:t>2</w:t>
            </w:r>
            <w:r>
              <w:rPr>
                <w:rFonts w:hint="eastAsia"/>
              </w:rPr>
              <w:t>台</w:t>
            </w:r>
          </w:p>
        </w:tc>
      </w:tr>
      <w:tr w14:paraId="373BBB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67E320DB">
            <w:pPr>
              <w:widowControl/>
              <w:snapToGrid w:val="0"/>
              <w:spacing w:line="240" w:lineRule="auto"/>
              <w:jc w:val="center"/>
              <w:rPr>
                <w:rFonts w:ascii="宋体" w:hAnsi="宋体" w:cs="宋体"/>
                <w:bCs/>
                <w:szCs w:val="21"/>
              </w:rPr>
            </w:pPr>
            <w:r>
              <w:rPr>
                <w:rFonts w:hint="eastAsia" w:ascii="宋体" w:hAnsi="宋体" w:cs="宋体"/>
                <w:bCs/>
                <w:szCs w:val="21"/>
              </w:rPr>
              <w:t>7</w:t>
            </w:r>
          </w:p>
        </w:tc>
        <w:tc>
          <w:tcPr>
            <w:tcW w:w="950" w:type="pct"/>
            <w:shd w:val="clear" w:color="auto" w:fill="FFFFFF"/>
            <w:noWrap w:val="0"/>
            <w:vAlign w:val="center"/>
          </w:tcPr>
          <w:p w14:paraId="1A8A44F0">
            <w:pPr>
              <w:spacing w:line="240" w:lineRule="auto"/>
              <w:jc w:val="center"/>
              <w:rPr>
                <w:rFonts w:hint="eastAsia"/>
              </w:rPr>
            </w:pPr>
            <w:r>
              <w:rPr>
                <w:rFonts w:hint="eastAsia"/>
              </w:rPr>
              <w:t>智慧运算中心</w:t>
            </w:r>
          </w:p>
        </w:tc>
        <w:tc>
          <w:tcPr>
            <w:tcW w:w="2991" w:type="pct"/>
            <w:shd w:val="clear" w:color="auto" w:fill="FFFFFF"/>
            <w:noWrap w:val="0"/>
            <w:vAlign w:val="top"/>
          </w:tcPr>
          <w:p w14:paraId="2B33248A">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1、接口：8路音频输入、8路音频输出、1路RS232、1路RS485、4路GIPO、1路ETHERNET、1路USB；</w:t>
            </w:r>
          </w:p>
          <w:p w14:paraId="18334A4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2、音频矩阵：8路模拟信号输入、8路模拟信号输出，支持手机、平板、电脑端上位机软件与物联网平台任意切换；</w:t>
            </w:r>
          </w:p>
          <w:p w14:paraId="47FF860E">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3、调试接口：支持连接局域网进行本地调试，支持连接外网，对接物联网平台，进行远程设备监测和控制；</w:t>
            </w:r>
          </w:p>
          <w:p w14:paraId="14EDB90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4、中控功能：1路RS232、1路RS485、4路GIPO用于控制外部设备；</w:t>
            </w:r>
          </w:p>
          <w:p w14:paraId="00395A4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5、音频处理：输入通道：ANS噪声抑制、AFC反馈抑制、AEC回声消除、信号发生器、扩展器、压缩器、自动增益、参量均衡，输出通道：延时器、高低通滤波器、限幅器、参量均衡；</w:t>
            </w:r>
          </w:p>
          <w:p w14:paraId="6DCB7C6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6、物联网功能：支持物联网平台实时查看设备在线状态、实时电平、通道静音状态、矩阵混音状态、远程操控设备音频矩阵切换、支持一键静音、调整每路音频增益控制音量大小、实时控制设备中控功能；</w:t>
            </w:r>
          </w:p>
          <w:p w14:paraId="3B2AAFE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7、支持断电自动记忆保护功能；</w:t>
            </w:r>
          </w:p>
          <w:p w14:paraId="1A0E372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8、支持场景预设功能，最大16组场景预设；</w:t>
            </w:r>
          </w:p>
          <w:p w14:paraId="69AD7A2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9、总线式AEC，尾长时间：512ms，收敛率：60dB/S,回声消除幅度：60dB；独立通道的AFC（反馈抑制），采用陷波式算法，传声增益提升幅度：10dB；噪声抑制（ANS），信噪比提升18dB；</w:t>
            </w:r>
          </w:p>
          <w:p w14:paraId="59005338">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10、8段英式参量均衡，提供5种滤波器选择：Parametric, Lowshelf, Highshelf, Lowpass, Highpass；</w:t>
            </w:r>
          </w:p>
          <w:p w14:paraId="030EAC2A">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11、处理器：ADI SHARC 21489@450 MHz SIMD；</w:t>
            </w:r>
          </w:p>
          <w:p w14:paraId="1A42BD38">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12、DSP处理能力：400 MIPS，1.6 GFLOPS；</w:t>
            </w:r>
          </w:p>
          <w:p w14:paraId="24A5B20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13、采样率：48 kHz，± 100 ppm；</w:t>
            </w:r>
          </w:p>
          <w:p w14:paraId="33CA921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14、THD+N：&lt;-94dB @17dBu；</w:t>
            </w:r>
          </w:p>
          <w:p w14:paraId="09A4B68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15、输入动态范围：110dB 输出动态范围：112dB；</w:t>
            </w:r>
          </w:p>
          <w:p w14:paraId="4AA40EB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16、内置USB声卡，支持音乐播放、录制和软视频会议；如：ZOOM，腾讯会议，钉钉会议等；</w:t>
            </w:r>
          </w:p>
          <w:p w14:paraId="36C4CD3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17、提供终端用户订制操作界面，最大支持30台设备同一个界面管理；</w:t>
            </w:r>
          </w:p>
          <w:p w14:paraId="6B6E2BE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18、具有中央控制功能，可对系统中的电源、信号切换、环境控制、音频等整体控制，实现一键开启系统所需要的功能；</w:t>
            </w:r>
          </w:p>
        </w:tc>
        <w:tc>
          <w:tcPr>
            <w:tcW w:w="758" w:type="pct"/>
            <w:noWrap w:val="0"/>
            <w:vAlign w:val="center"/>
          </w:tcPr>
          <w:p w14:paraId="0EA74652">
            <w:pPr>
              <w:spacing w:line="240" w:lineRule="auto"/>
              <w:jc w:val="center"/>
            </w:pPr>
            <w:r>
              <w:t>3</w:t>
            </w:r>
            <w:r>
              <w:rPr>
                <w:rFonts w:hint="eastAsia"/>
              </w:rPr>
              <w:t>台</w:t>
            </w:r>
          </w:p>
        </w:tc>
      </w:tr>
      <w:tr w14:paraId="20034B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09BEF552">
            <w:pPr>
              <w:widowControl/>
              <w:snapToGrid w:val="0"/>
              <w:spacing w:line="240" w:lineRule="auto"/>
              <w:jc w:val="center"/>
              <w:rPr>
                <w:rFonts w:ascii="宋体" w:hAnsi="宋体" w:cs="宋体"/>
                <w:bCs/>
                <w:szCs w:val="21"/>
              </w:rPr>
            </w:pPr>
            <w:r>
              <w:rPr>
                <w:rFonts w:hint="eastAsia" w:ascii="宋体" w:hAnsi="宋体" w:cs="宋体"/>
                <w:bCs/>
                <w:szCs w:val="21"/>
              </w:rPr>
              <w:t>8</w:t>
            </w:r>
          </w:p>
        </w:tc>
        <w:tc>
          <w:tcPr>
            <w:tcW w:w="950" w:type="pct"/>
            <w:shd w:val="clear" w:color="auto" w:fill="FFFFFF"/>
            <w:noWrap w:val="0"/>
            <w:vAlign w:val="center"/>
          </w:tcPr>
          <w:p w14:paraId="65B7507D">
            <w:pPr>
              <w:spacing w:line="240" w:lineRule="auto"/>
              <w:jc w:val="center"/>
              <w:rPr>
                <w:rFonts w:hint="eastAsia"/>
              </w:rPr>
            </w:pPr>
            <w:r>
              <w:rPr>
                <w:rFonts w:hint="eastAsia"/>
              </w:rPr>
              <w:t>无线手持话筒</w:t>
            </w:r>
          </w:p>
        </w:tc>
        <w:tc>
          <w:tcPr>
            <w:tcW w:w="2991" w:type="pct"/>
            <w:shd w:val="clear" w:color="auto" w:fill="FFFFFF"/>
            <w:noWrap w:val="0"/>
            <w:vAlign w:val="center"/>
          </w:tcPr>
          <w:p w14:paraId="03EE2085">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"1、包含接收主机一台，手持话筒两只；</w:t>
            </w:r>
          </w:p>
          <w:p w14:paraId="40A65353">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2、RF高动态范围及第三代中频电路，大幅提升互不干扰的频道数及抗干扰特性； </w:t>
            </w:r>
          </w:p>
          <w:p w14:paraId="171E403B">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3、第1-4组预设16个互不干扰频率，第5－8预设24个互不干扰频率，第U组为用户自定义组，最多可提供2000频率供客户自定义选择使用；</w:t>
            </w:r>
          </w:p>
          <w:p w14:paraId="7E14CF4C">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4、采用天线分集式接收及数字导音，杂音锁定双重静音控制，接收距离远，消除接收断音及不稳的缺失；</w:t>
            </w:r>
          </w:p>
          <w:p w14:paraId="0A5310AB">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5、黑色金属面板，LED段码显示器，可同时显示群组、频率、电池电量、静音位准、电子音量等相关信息；LED灯柱显示RF/AF强度；</w:t>
            </w:r>
          </w:p>
          <w:p w14:paraId="5A06CE06">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6、采用飞梭旋钮取代传统复杂的按键，操作快速方便；</w:t>
            </w:r>
          </w:p>
          <w:p w14:paraId="2398F0D2">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★7、天线接口采用50Ω/TNC螺纹接口，保持天线可靠连接。并支持天线环路输出，支持同型产品射频级联；提供天线环路输出接口实物图影印件或扫描件；</w:t>
            </w:r>
          </w:p>
          <w:p w14:paraId="11BCEA6D">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★8、TRS6.35和XLR卡龙座混合音频输出，CH1、CH2独立音频输出，具有MIC/LINE输出开关；提供MIC/LINE输出切换开关实物图影印件或扫描件；</w:t>
            </w:r>
          </w:p>
          <w:p w14:paraId="5928976A">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9、天线座提供12V电压，可以连接天线系统，增加接收距离及稳定的接收效果；</w:t>
            </w:r>
          </w:p>
          <w:p w14:paraId="48E570EE">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★10、供电方式：220V交流电源输入，220V交流电源环路输出；提供电源环路输出实物图影印件或扫描件；</w:t>
            </w:r>
          </w:p>
          <w:p w14:paraId="67CD93F4">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11、频率范围：640MHz-690MHz；</w:t>
            </w:r>
          </w:p>
          <w:p w14:paraId="19902A65">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12、综合信噪比： ＞100dB；</w:t>
            </w:r>
          </w:p>
          <w:p w14:paraId="68725351">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13、音频响应： 80Hz-18KHz；</w:t>
            </w:r>
          </w:p>
        </w:tc>
        <w:tc>
          <w:tcPr>
            <w:tcW w:w="758" w:type="pct"/>
            <w:noWrap w:val="0"/>
            <w:vAlign w:val="center"/>
          </w:tcPr>
          <w:p w14:paraId="73B90695">
            <w:pPr>
              <w:spacing w:line="240" w:lineRule="auto"/>
              <w:jc w:val="center"/>
            </w:pPr>
            <w:r>
              <w:t>3</w:t>
            </w:r>
            <w:r>
              <w:rPr>
                <w:rFonts w:hint="eastAsia"/>
              </w:rPr>
              <w:t>套</w:t>
            </w:r>
          </w:p>
        </w:tc>
      </w:tr>
      <w:tr w14:paraId="34C9A3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3705CC57">
            <w:pPr>
              <w:widowControl/>
              <w:snapToGrid w:val="0"/>
              <w:spacing w:line="240" w:lineRule="auto"/>
              <w:jc w:val="center"/>
              <w:rPr>
                <w:rFonts w:ascii="宋体" w:hAnsi="宋体" w:cs="宋体"/>
                <w:bCs/>
                <w:szCs w:val="21"/>
              </w:rPr>
            </w:pPr>
            <w:r>
              <w:rPr>
                <w:rFonts w:hint="eastAsia" w:ascii="宋体" w:hAnsi="宋体" w:cs="宋体"/>
                <w:bCs/>
                <w:szCs w:val="21"/>
              </w:rPr>
              <w:t>9</w:t>
            </w:r>
          </w:p>
        </w:tc>
        <w:tc>
          <w:tcPr>
            <w:tcW w:w="950" w:type="pct"/>
            <w:shd w:val="clear" w:color="auto" w:fill="FFFFFF"/>
            <w:noWrap w:val="0"/>
            <w:vAlign w:val="center"/>
          </w:tcPr>
          <w:p w14:paraId="2B21B450">
            <w:pPr>
              <w:spacing w:line="240" w:lineRule="auto"/>
              <w:jc w:val="center"/>
              <w:rPr>
                <w:rFonts w:hint="eastAsia"/>
              </w:rPr>
            </w:pPr>
            <w:r>
              <w:rPr>
                <w:rFonts w:hint="eastAsia"/>
              </w:rPr>
              <w:t>无线会议系统主机</w:t>
            </w:r>
          </w:p>
        </w:tc>
        <w:tc>
          <w:tcPr>
            <w:tcW w:w="2991" w:type="pct"/>
            <w:shd w:val="clear" w:color="auto" w:fill="FFFFFF"/>
            <w:noWrap w:val="0"/>
            <w:vAlign w:val="center"/>
          </w:tcPr>
          <w:p w14:paraId="0BA4DECE">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1、主控机采用全金属结构设计，庄重大方；列席单元采用工程塑料材质加上新颖的外型设计，美观得体；</w:t>
            </w:r>
          </w:p>
          <w:p w14:paraId="4198A9A5">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2、会议主机支持无线传输与有线传输2种方式，无线会议单元与有线会议单元可以共用一个系统；</w:t>
            </w:r>
          </w:p>
          <w:p w14:paraId="21494872">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3、会议主机具有LCD显示屏，分级菜单显示，且有电量显示、欠压警告、频率信道和信号指示等显示功能；</w:t>
            </w:r>
          </w:p>
          <w:p w14:paraId="022B014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4、会议系统具有轮替模式、限制模式、主席专有多种会议发言模式；</w:t>
            </w:r>
          </w:p>
          <w:p w14:paraId="6CC9CD1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5、会议主机可外接视像跟踪模块，实现会议单元的视像跟踪功能；</w:t>
            </w:r>
          </w:p>
          <w:p w14:paraId="1533337B">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6、单台会议主机可挂载≦255席表决单元或≦1000席发言单元同时进行会议；</w:t>
            </w:r>
          </w:p>
          <w:p w14:paraId="0E7CE4A2">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7、会议主机可外接8芯转换盒，实现有线列席单元供电及音频通讯8芯电缆方式传送；</w:t>
            </w:r>
          </w:p>
          <w:p w14:paraId="060987F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8、会议主机支持无线方式单元采用FM调频方式实现声音信号传输，音频信道和控制信道皆采用无线方式传送，高保真，信噪比高，无声音延时；</w:t>
            </w:r>
          </w:p>
          <w:p w14:paraId="73E6C991">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★9、会议主机具有1路控制信道天线接口(ANT DATA)、3路无线列席单元音频信道天线接口(ANT)、RS232接口、网络分线盒接口(LAN)、数据接口(DATA，外接视像跟踪模块)、控制信道天线盒接口(ANT EXT)；提供实物功能接口图影印件或扫描件；</w:t>
            </w:r>
          </w:p>
          <w:p w14:paraId="02D2C661">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★10、无线单元音频输出接口（W-AUDIO OUT）、有线单元音频输出接口（AUDIO OUT-L）、系统移频功能开关（FS:ON-OFF），音频混合输出接口（MIX OUT）、音频混合平衡输出接口（MIX BAL）、DSP音效调节控制接口（USB AUDIO）；提供实物功能接口图影印件或扫描件；</w:t>
            </w:r>
          </w:p>
          <w:p w14:paraId="16C0A305">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11、会议主机支持在有线无线单元混合使用情况下，将有线单元与无线单元音频信号分开输出；</w:t>
            </w:r>
          </w:p>
        </w:tc>
        <w:tc>
          <w:tcPr>
            <w:tcW w:w="758" w:type="pct"/>
            <w:noWrap w:val="0"/>
            <w:vAlign w:val="center"/>
          </w:tcPr>
          <w:p w14:paraId="670B2147">
            <w:pPr>
              <w:spacing w:line="240" w:lineRule="auto"/>
              <w:jc w:val="center"/>
            </w:pPr>
            <w:r>
              <w:t>3</w:t>
            </w:r>
            <w:r>
              <w:rPr>
                <w:rFonts w:hint="eastAsia"/>
              </w:rPr>
              <w:t>台</w:t>
            </w:r>
          </w:p>
        </w:tc>
      </w:tr>
      <w:tr w14:paraId="3AC49D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60077AEB">
            <w:pPr>
              <w:widowControl/>
              <w:snapToGrid w:val="0"/>
              <w:spacing w:line="240" w:lineRule="auto"/>
              <w:jc w:val="center"/>
              <w:rPr>
                <w:rFonts w:ascii="宋体" w:hAnsi="宋体" w:cs="宋体"/>
                <w:bCs/>
                <w:szCs w:val="21"/>
              </w:rPr>
            </w:pPr>
            <w:r>
              <w:rPr>
                <w:rFonts w:hint="eastAsia" w:ascii="宋体" w:hAnsi="宋体" w:cs="宋体"/>
                <w:bCs/>
                <w:szCs w:val="21"/>
              </w:rPr>
              <w:t>10</w:t>
            </w:r>
          </w:p>
        </w:tc>
        <w:tc>
          <w:tcPr>
            <w:tcW w:w="950" w:type="pct"/>
            <w:shd w:val="clear" w:color="auto" w:fill="FFFFFF"/>
            <w:noWrap w:val="0"/>
            <w:vAlign w:val="center"/>
          </w:tcPr>
          <w:p w14:paraId="133E61E1">
            <w:pPr>
              <w:spacing w:line="240" w:lineRule="auto"/>
              <w:jc w:val="center"/>
              <w:rPr>
                <w:rFonts w:hint="eastAsia"/>
              </w:rPr>
            </w:pPr>
            <w:r>
              <w:rPr>
                <w:rFonts w:hint="eastAsia"/>
              </w:rPr>
              <w:t>无线主席单元</w:t>
            </w:r>
          </w:p>
        </w:tc>
        <w:tc>
          <w:tcPr>
            <w:tcW w:w="2991" w:type="pct"/>
            <w:shd w:val="clear" w:color="auto" w:fill="FFFFFF"/>
            <w:noWrap w:val="0"/>
            <w:vAlign w:val="center"/>
          </w:tcPr>
          <w:p w14:paraId="57FAC4B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1、新颖的结构设计，驻极体超心形指向性话筒，方管电容话筒；</w:t>
            </w:r>
          </w:p>
          <w:p w14:paraId="577D8C8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2、主席话筒具有主席优先功能键，可一键关闭所有代表话筒；</w:t>
            </w:r>
          </w:p>
          <w:p w14:paraId="3310E85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3、单元具有抗手机、电磁、高频干扰能力；</w:t>
            </w:r>
          </w:p>
          <w:p w14:paraId="187560D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4、LCD显示屏，可显示话筒状态及系统菜单；</w:t>
            </w:r>
          </w:p>
          <w:p w14:paraId="4A03C37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5、会议单元具有独立电源开关键，智能电路管理电池电量、具有实时电量显示；</w:t>
            </w:r>
          </w:p>
          <w:p w14:paraId="00B87D2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6、具有话筒开关按键，按下开关键咪管指示灯环亮，话筒为开启状态；</w:t>
            </w:r>
          </w:p>
          <w:p w14:paraId="4778734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★7、单元具有至少5个表决操作功能按键（1/MUTE、2/VOL+、3/VOL-、4/KEY、5/KEY），配合会议系统专用管理软件具有投票、表决类功能；提供实物功能接口图影印件或扫描件；</w:t>
            </w:r>
          </w:p>
          <w:p w14:paraId="136BA2F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8、单元采用专用充电锂电池供电方式，超低功耗，列席单元大于8小时的连续发言时间和大于20小时的待机时间；</w:t>
            </w:r>
          </w:p>
          <w:p w14:paraId="2BC3905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9、音频通信方式：超高频无线电波；</w:t>
            </w:r>
          </w:p>
          <w:p w14:paraId="2863752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10、咪管长度：240mm；</w:t>
            </w:r>
          </w:p>
        </w:tc>
        <w:tc>
          <w:tcPr>
            <w:tcW w:w="758" w:type="pct"/>
            <w:noWrap w:val="0"/>
            <w:vAlign w:val="center"/>
          </w:tcPr>
          <w:p w14:paraId="06E626AB">
            <w:pPr>
              <w:spacing w:line="240" w:lineRule="auto"/>
              <w:jc w:val="center"/>
              <w:rPr>
                <w:rFonts w:hint="eastAsia"/>
              </w:rPr>
            </w:pPr>
            <w:r>
              <w:t>3</w:t>
            </w:r>
            <w:r>
              <w:rPr>
                <w:rFonts w:hint="eastAsia"/>
              </w:rPr>
              <w:t>只</w:t>
            </w:r>
          </w:p>
        </w:tc>
      </w:tr>
      <w:tr w14:paraId="0922C0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7200BD95">
            <w:pPr>
              <w:widowControl/>
              <w:snapToGrid w:val="0"/>
              <w:spacing w:line="240" w:lineRule="auto"/>
              <w:jc w:val="center"/>
              <w:rPr>
                <w:rFonts w:ascii="宋体" w:hAnsi="宋体" w:cs="宋体"/>
                <w:bCs/>
                <w:szCs w:val="21"/>
              </w:rPr>
            </w:pPr>
            <w:r>
              <w:rPr>
                <w:rFonts w:hint="eastAsia" w:ascii="宋体" w:hAnsi="宋体" w:cs="宋体"/>
                <w:bCs/>
                <w:szCs w:val="21"/>
              </w:rPr>
              <w:t>11</w:t>
            </w:r>
          </w:p>
        </w:tc>
        <w:tc>
          <w:tcPr>
            <w:tcW w:w="950" w:type="pct"/>
            <w:shd w:val="clear" w:color="auto" w:fill="FFFFFF"/>
            <w:noWrap w:val="0"/>
            <w:vAlign w:val="center"/>
          </w:tcPr>
          <w:p w14:paraId="14EC508E">
            <w:pPr>
              <w:spacing w:line="240" w:lineRule="auto"/>
              <w:jc w:val="center"/>
              <w:rPr>
                <w:rFonts w:hint="eastAsia"/>
              </w:rPr>
            </w:pPr>
            <w:r>
              <w:rPr>
                <w:rFonts w:hint="eastAsia"/>
              </w:rPr>
              <w:t>无线客席单元</w:t>
            </w:r>
          </w:p>
        </w:tc>
        <w:tc>
          <w:tcPr>
            <w:tcW w:w="2991" w:type="pct"/>
            <w:shd w:val="clear" w:color="auto" w:fill="FFFFFF"/>
            <w:noWrap w:val="0"/>
            <w:vAlign w:val="center"/>
          </w:tcPr>
          <w:p w14:paraId="6896417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1、新颖的结构设计，驻极体超心形指向性话筒，方管电容话筒；</w:t>
            </w:r>
          </w:p>
          <w:p w14:paraId="790353E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2、主席话筒具有主席优先功能键，可一键关闭所有代表话筒；</w:t>
            </w:r>
          </w:p>
          <w:p w14:paraId="2C705A1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3、单元具有抗手机、电磁、高频干扰能力；</w:t>
            </w:r>
          </w:p>
          <w:p w14:paraId="4E9C58E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4、LCD显示屏，可显示话筒状态及系统菜单；</w:t>
            </w:r>
          </w:p>
          <w:p w14:paraId="660CD41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5、会议单元具有独立电源开关键，智能电路管理电池电量、具有实时电量显示；</w:t>
            </w:r>
          </w:p>
          <w:p w14:paraId="00200DE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6、具有话筒开关按键，按下开关键咪管指示灯环亮，话筒为开启状态；</w:t>
            </w:r>
          </w:p>
          <w:p w14:paraId="64B4FA9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7、单元具有至少5个表决操作功能按键（1/MUTE、2/VOL+、3/VOL-、4/KEY、5/KEY），配合会议系统专用管理软件具有投票、表决类功能；</w:t>
            </w:r>
          </w:p>
          <w:p w14:paraId="0904941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8、单元采用专用充电锂电池供电方式，超低功耗，列席单元大于8小时的连续发言时间和大于20小时的待机时间；</w:t>
            </w:r>
          </w:p>
          <w:p w14:paraId="64CBB3A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9、音频通信方式：超高频无线电波；</w:t>
            </w:r>
          </w:p>
          <w:p w14:paraId="577ED35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10、咪管长度：240mm；</w:t>
            </w:r>
          </w:p>
        </w:tc>
        <w:tc>
          <w:tcPr>
            <w:tcW w:w="758" w:type="pct"/>
            <w:noWrap w:val="0"/>
            <w:vAlign w:val="center"/>
          </w:tcPr>
          <w:p w14:paraId="1CB928F5">
            <w:pPr>
              <w:spacing w:line="240" w:lineRule="auto"/>
              <w:jc w:val="center"/>
            </w:pPr>
            <w:r>
              <w:t>21</w:t>
            </w:r>
            <w:r>
              <w:rPr>
                <w:rFonts w:hint="eastAsia"/>
              </w:rPr>
              <w:t>只</w:t>
            </w:r>
          </w:p>
        </w:tc>
      </w:tr>
      <w:tr w14:paraId="604F39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6DA2A8BF">
            <w:pPr>
              <w:widowControl/>
              <w:snapToGrid w:val="0"/>
              <w:spacing w:line="240" w:lineRule="auto"/>
              <w:jc w:val="center"/>
              <w:rPr>
                <w:rFonts w:ascii="宋体" w:hAnsi="宋体" w:cs="宋体"/>
                <w:bCs/>
                <w:szCs w:val="21"/>
              </w:rPr>
            </w:pPr>
            <w:r>
              <w:rPr>
                <w:rFonts w:hint="eastAsia" w:ascii="宋体" w:hAnsi="宋体" w:cs="宋体"/>
                <w:bCs/>
                <w:szCs w:val="21"/>
              </w:rPr>
              <w:t>12</w:t>
            </w:r>
          </w:p>
        </w:tc>
        <w:tc>
          <w:tcPr>
            <w:tcW w:w="950" w:type="pct"/>
            <w:shd w:val="clear" w:color="auto" w:fill="FFFFFF"/>
            <w:noWrap w:val="0"/>
            <w:vAlign w:val="center"/>
          </w:tcPr>
          <w:p w14:paraId="1C1625D6">
            <w:pPr>
              <w:spacing w:line="240" w:lineRule="auto"/>
              <w:jc w:val="center"/>
              <w:rPr>
                <w:rFonts w:hint="eastAsia"/>
              </w:rPr>
            </w:pPr>
            <w:r>
              <w:rPr>
                <w:rFonts w:hint="eastAsia"/>
              </w:rPr>
              <w:t>电源时序器</w:t>
            </w:r>
          </w:p>
        </w:tc>
        <w:tc>
          <w:tcPr>
            <w:tcW w:w="2991" w:type="pct"/>
            <w:shd w:val="clear" w:color="auto" w:fill="FFFFFF"/>
            <w:noWrap w:val="0"/>
            <w:vAlign w:val="center"/>
          </w:tcPr>
          <w:p w14:paraId="5D4F179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1、电源电压显示：LED数码管实时显示，显示精度士2%, 能实时显示输入电源电压；</w:t>
            </w:r>
          </w:p>
          <w:p w14:paraId="1A915EC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★2、输出插座：14个国标五孔电源插座，输出能时序总控制和单路控制输出；提供实物功能接口图影印件或扫描件；</w:t>
            </w:r>
          </w:p>
          <w:p w14:paraId="75C5343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★3、直流输出路数：6路12V（土1V) /1. 2A直流输出；提供实物功能接口图影印件或扫描件；</w:t>
            </w:r>
          </w:p>
          <w:p w14:paraId="253FE49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4、时序延迟时间：≥0.5s；</w:t>
            </w:r>
          </w:p>
          <w:p w14:paraId="7321E8C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5、控制功能：RS232串口控制、凤凰控制口，实现单机控制、多机联机控制，远程控制；</w:t>
            </w:r>
          </w:p>
          <w:p w14:paraId="1691E41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6、保护功能：前面板配有80A空气开关，具有过流、漏电保护功能；7、按键和指示灯：每路交流输出电源带独立控制按键和LED指示灯；</w:t>
            </w:r>
          </w:p>
          <w:p w14:paraId="2D0653B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8、接口功能：前面板带有USB接口，USB接口有5V直流电源输出；</w:t>
            </w:r>
          </w:p>
        </w:tc>
        <w:tc>
          <w:tcPr>
            <w:tcW w:w="758" w:type="pct"/>
            <w:noWrap w:val="0"/>
            <w:vAlign w:val="center"/>
          </w:tcPr>
          <w:p w14:paraId="709AC1C7">
            <w:pPr>
              <w:spacing w:line="240" w:lineRule="auto"/>
              <w:jc w:val="center"/>
            </w:pPr>
            <w:r>
              <w:t>3</w:t>
            </w:r>
            <w:r>
              <w:rPr>
                <w:rFonts w:hint="eastAsia"/>
              </w:rPr>
              <w:t>台</w:t>
            </w:r>
          </w:p>
        </w:tc>
      </w:tr>
      <w:tr w14:paraId="7F3AAF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75CE6D93">
            <w:pPr>
              <w:widowControl/>
              <w:snapToGrid w:val="0"/>
              <w:spacing w:line="240" w:lineRule="auto"/>
              <w:jc w:val="center"/>
              <w:rPr>
                <w:rFonts w:ascii="宋体" w:hAnsi="宋体" w:cs="宋体"/>
                <w:bCs/>
                <w:szCs w:val="21"/>
              </w:rPr>
            </w:pPr>
            <w:r>
              <w:rPr>
                <w:rFonts w:hint="eastAsia" w:ascii="宋体" w:hAnsi="宋体" w:cs="宋体"/>
                <w:bCs/>
                <w:szCs w:val="21"/>
              </w:rPr>
              <w:t>13</w:t>
            </w:r>
          </w:p>
        </w:tc>
        <w:tc>
          <w:tcPr>
            <w:tcW w:w="950" w:type="pct"/>
            <w:shd w:val="clear" w:color="auto" w:fill="FFFFFF"/>
            <w:noWrap w:val="0"/>
            <w:vAlign w:val="center"/>
          </w:tcPr>
          <w:p w14:paraId="71CEAC56">
            <w:pPr>
              <w:spacing w:line="240" w:lineRule="auto"/>
              <w:jc w:val="center"/>
            </w:pPr>
            <w:r>
              <w:rPr>
                <w:rFonts w:hint="eastAsia"/>
              </w:rPr>
              <w:t>机柜</w:t>
            </w:r>
          </w:p>
        </w:tc>
        <w:tc>
          <w:tcPr>
            <w:tcW w:w="2991" w:type="pct"/>
            <w:shd w:val="clear" w:color="auto" w:fill="FFFFFF"/>
            <w:noWrap w:val="0"/>
            <w:vAlign w:val="center"/>
          </w:tcPr>
          <w:p w14:paraId="1FF292B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1、规格型号：1.8米调音机柜</w:t>
            </w:r>
          </w:p>
          <w:p w14:paraId="025AAE0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2、技术参数：（1）立柱：2.0mm，横梁：1.5mm，前后门：1.2mm,其他：1.0 ；（2）机柜材质：SPCC优质冷轧钢板 ；（3）配件：含托盘、机柜螺丝</w:t>
            </w:r>
          </w:p>
        </w:tc>
        <w:tc>
          <w:tcPr>
            <w:tcW w:w="758" w:type="pct"/>
            <w:noWrap w:val="0"/>
            <w:vAlign w:val="center"/>
          </w:tcPr>
          <w:p w14:paraId="073EE1B4">
            <w:pPr>
              <w:spacing w:line="240" w:lineRule="auto"/>
              <w:jc w:val="center"/>
            </w:pPr>
            <w:r>
              <w:t>4</w:t>
            </w:r>
            <w:r>
              <w:rPr>
                <w:rFonts w:hint="eastAsia"/>
              </w:rPr>
              <w:t>台</w:t>
            </w:r>
          </w:p>
        </w:tc>
      </w:tr>
      <w:tr w14:paraId="3F11C3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2B52DC52">
            <w:pPr>
              <w:widowControl/>
              <w:snapToGrid w:val="0"/>
              <w:spacing w:line="240" w:lineRule="auto"/>
              <w:jc w:val="center"/>
              <w:rPr>
                <w:rFonts w:ascii="宋体" w:hAnsi="宋体" w:cs="宋体"/>
                <w:bCs/>
                <w:szCs w:val="21"/>
              </w:rPr>
            </w:pPr>
            <w:r>
              <w:rPr>
                <w:rFonts w:hint="eastAsia" w:ascii="宋体" w:hAnsi="宋体" w:cs="宋体"/>
                <w:bCs/>
                <w:szCs w:val="21"/>
              </w:rPr>
              <w:t>14</w:t>
            </w:r>
          </w:p>
        </w:tc>
        <w:tc>
          <w:tcPr>
            <w:tcW w:w="950" w:type="pct"/>
            <w:shd w:val="clear" w:color="auto" w:fill="FFFFFF"/>
            <w:noWrap w:val="0"/>
            <w:vAlign w:val="center"/>
          </w:tcPr>
          <w:p w14:paraId="140C4290">
            <w:pPr>
              <w:spacing w:line="240" w:lineRule="auto"/>
              <w:jc w:val="center"/>
              <w:rPr>
                <w:rFonts w:hint="eastAsia"/>
              </w:rPr>
            </w:pPr>
            <w:r>
              <w:rPr>
                <w:rFonts w:hint="eastAsia"/>
              </w:rPr>
              <w:t>线阵列全频音箱</w:t>
            </w:r>
          </w:p>
        </w:tc>
        <w:tc>
          <w:tcPr>
            <w:tcW w:w="2991" w:type="pct"/>
            <w:shd w:val="clear" w:color="auto" w:fill="FFFFFF"/>
            <w:noWrap w:val="0"/>
            <w:vAlign w:val="center"/>
          </w:tcPr>
          <w:p w14:paraId="7CCBB9E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1、2×5"低频驱动单元；</w:t>
            </w:r>
          </w:p>
          <w:p w14:paraId="3DFE1CF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2、1×1.35"高音单元</w:t>
            </w:r>
          </w:p>
          <w:p w14:paraId="097C597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3、额定功率（RMS)不小于260W/16Ω</w:t>
            </w:r>
          </w:p>
          <w:p w14:paraId="1A28FBC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4、特性灵敏度不小于95±2dB/W/m</w:t>
            </w:r>
          </w:p>
          <w:p w14:paraId="2489149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5、输出声压级不小于119±2dB/W/m(Continues)；125±2dB/W/m(Peak)</w:t>
            </w:r>
          </w:p>
          <w:p w14:paraId="664AB10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6、低频截止频率不高于：80Hz；高频截止频率不低于：20KHz</w:t>
            </w:r>
          </w:p>
          <w:p w14:paraId="71F9A62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7、单只水平覆盖范围：100°；单只垂直覆盖范围：10°</w:t>
            </w:r>
          </w:p>
        </w:tc>
        <w:tc>
          <w:tcPr>
            <w:tcW w:w="758" w:type="pct"/>
            <w:noWrap w:val="0"/>
            <w:vAlign w:val="center"/>
          </w:tcPr>
          <w:p w14:paraId="3EBE4648">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8只</w:t>
            </w:r>
          </w:p>
        </w:tc>
      </w:tr>
      <w:tr w14:paraId="4BAFF9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4952FA8B">
            <w:pPr>
              <w:widowControl/>
              <w:snapToGrid w:val="0"/>
              <w:spacing w:line="240" w:lineRule="auto"/>
              <w:jc w:val="center"/>
              <w:rPr>
                <w:rFonts w:ascii="宋体" w:hAnsi="宋体" w:cs="宋体"/>
                <w:bCs/>
                <w:szCs w:val="21"/>
              </w:rPr>
            </w:pPr>
            <w:r>
              <w:rPr>
                <w:rFonts w:hint="eastAsia" w:ascii="宋体" w:hAnsi="宋体" w:cs="宋体"/>
                <w:bCs/>
                <w:szCs w:val="21"/>
              </w:rPr>
              <w:t>15</w:t>
            </w:r>
          </w:p>
        </w:tc>
        <w:tc>
          <w:tcPr>
            <w:tcW w:w="950" w:type="pct"/>
            <w:shd w:val="clear" w:color="auto" w:fill="FFFFFF"/>
            <w:noWrap w:val="0"/>
            <w:vAlign w:val="center"/>
          </w:tcPr>
          <w:p w14:paraId="1E4C0942">
            <w:pPr>
              <w:spacing w:line="240" w:lineRule="auto"/>
              <w:jc w:val="center"/>
              <w:rPr>
                <w:rFonts w:hint="eastAsia"/>
              </w:rPr>
            </w:pPr>
            <w:r>
              <w:rPr>
                <w:rFonts w:hint="eastAsia"/>
              </w:rPr>
              <w:t>线阵列全频音箱功放</w:t>
            </w:r>
          </w:p>
        </w:tc>
        <w:tc>
          <w:tcPr>
            <w:tcW w:w="2991" w:type="pct"/>
            <w:shd w:val="clear" w:color="auto" w:fill="FFFFFF"/>
            <w:noWrap w:val="0"/>
            <w:vAlign w:val="center"/>
          </w:tcPr>
          <w:p w14:paraId="001705B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1、专业铝合金型材面板，1U高度设计；</w:t>
            </w:r>
          </w:p>
          <w:p w14:paraId="6DAD3CD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2、D类数字功率放大器； </w:t>
            </w:r>
          </w:p>
          <w:p w14:paraId="21013B6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3、具有开机电源软启动功能、短路、过载、直流、过热保护、变压器过热保护和DC漂移等多重检测保护性能；</w:t>
            </w:r>
          </w:p>
          <w:p w14:paraId="18C781B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4、两个XLR孔形卡侬输入插座，两个XLR孔形卡侬信号并接插座，两个SPEAKON输出快装接口，一个网络控制接口RJ45，一个RS-485控制接口；</w:t>
            </w:r>
          </w:p>
          <w:p w14:paraId="3377B63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5、具有低通功能；提供第三方有权检测机构出具的具有CMA或CNAS标识检测报告影印件或扫描件；</w:t>
            </w:r>
          </w:p>
          <w:p w14:paraId="4E565A3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6、输出功率：2X450W/8Ω；</w:t>
            </w:r>
          </w:p>
          <w:p w14:paraId="7DD2BD0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7、频率响应：20Hz—20KHz±1dB；</w:t>
            </w:r>
          </w:p>
          <w:p w14:paraId="55C9A28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8、总谐波失真：THD≤0.1%（10%额定输出功率，1KHz）；</w:t>
            </w:r>
          </w:p>
          <w:p w14:paraId="5E9D708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9、输入灵敏度：0dBu(775mV)；</w:t>
            </w:r>
          </w:p>
          <w:p w14:paraId="4DA69BF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10、输入阻抗：平衡20KΩ，不平衡10KΩ；</w:t>
            </w:r>
          </w:p>
          <w:p w14:paraId="29EADAD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11、信噪比（A计权）：≥100dB；</w:t>
            </w:r>
          </w:p>
          <w:p w14:paraId="37B972D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12、电压适应范围：AC～110-240V/50-60Hz；</w:t>
            </w:r>
          </w:p>
          <w:p w14:paraId="377F02C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13、产品经过1500V AC（10mA）下冲击60s无损坏耐压测试；</w:t>
            </w:r>
          </w:p>
          <w:p w14:paraId="60DBABB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14、阻尼系数：≥250；（实际597）</w:t>
            </w:r>
          </w:p>
          <w:p w14:paraId="400D29D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15、工作模式：立体声、桥接、并接；</w:t>
            </w:r>
          </w:p>
          <w:p w14:paraId="4AB3F72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16、完整的LED工作状态指示灯（电源、信号、削峰、保护、网络）；</w:t>
            </w:r>
          </w:p>
        </w:tc>
        <w:tc>
          <w:tcPr>
            <w:tcW w:w="758" w:type="pct"/>
            <w:noWrap w:val="0"/>
            <w:vAlign w:val="center"/>
          </w:tcPr>
          <w:p w14:paraId="2FD1A7B0">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4台</w:t>
            </w:r>
          </w:p>
        </w:tc>
      </w:tr>
      <w:tr w14:paraId="3901E6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5E1EA42E">
            <w:pPr>
              <w:widowControl/>
              <w:snapToGrid w:val="0"/>
              <w:spacing w:line="240" w:lineRule="auto"/>
              <w:jc w:val="center"/>
              <w:rPr>
                <w:rFonts w:hint="eastAsia" w:ascii="宋体" w:hAnsi="宋体" w:cs="宋体"/>
                <w:bCs/>
                <w:szCs w:val="21"/>
              </w:rPr>
            </w:pPr>
            <w:r>
              <w:rPr>
                <w:rFonts w:hint="eastAsia" w:ascii="宋体" w:hAnsi="宋体" w:cs="宋体"/>
                <w:bCs/>
                <w:szCs w:val="21"/>
              </w:rPr>
              <w:t>16</w:t>
            </w:r>
          </w:p>
        </w:tc>
        <w:tc>
          <w:tcPr>
            <w:tcW w:w="950" w:type="pct"/>
            <w:shd w:val="clear" w:color="auto" w:fill="FFFFFF"/>
            <w:noWrap w:val="0"/>
            <w:vAlign w:val="center"/>
          </w:tcPr>
          <w:p w14:paraId="224CB587">
            <w:pPr>
              <w:spacing w:line="240" w:lineRule="auto"/>
              <w:jc w:val="center"/>
              <w:rPr>
                <w:rFonts w:hint="eastAsia"/>
              </w:rPr>
            </w:pPr>
            <w:r>
              <w:rPr>
                <w:rFonts w:hint="eastAsia"/>
              </w:rPr>
              <w:t>线阵列低音音箱</w:t>
            </w:r>
          </w:p>
        </w:tc>
        <w:tc>
          <w:tcPr>
            <w:tcW w:w="2991" w:type="pct"/>
            <w:shd w:val="clear" w:color="auto" w:fill="FFFFFF"/>
            <w:noWrap w:val="0"/>
            <w:vAlign w:val="center"/>
          </w:tcPr>
          <w:p w14:paraId="28D835B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1、不小于1×10""低频驱动单元</w:t>
            </w:r>
          </w:p>
          <w:p w14:paraId="181CA43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2、额定功率（RMS)不小于400W/8Ω</w:t>
            </w:r>
          </w:p>
          <w:p w14:paraId="54F2934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3、特性灵敏度不小于95±2dB/W/m（有效频率带通平均）</w:t>
            </w:r>
          </w:p>
          <w:p w14:paraId="33213F4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4、输出声压级不小于121±2dB/W/m(Continues)；127±2dB/W/m(Peak)</w:t>
            </w:r>
          </w:p>
          <w:p w14:paraId="004E289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5、低频截止频率不高于：45-500Hz；</w:t>
            </w:r>
          </w:p>
        </w:tc>
        <w:tc>
          <w:tcPr>
            <w:tcW w:w="758" w:type="pct"/>
            <w:noWrap w:val="0"/>
            <w:vAlign w:val="center"/>
          </w:tcPr>
          <w:p w14:paraId="11ACC2D2">
            <w:pPr>
              <w:widowControl/>
              <w:spacing w:line="240" w:lineRule="auto"/>
              <w:jc w:val="center"/>
              <w:rPr>
                <w:rFonts w:hint="eastAsia" w:ascii="宋体" w:hAnsi="宋体" w:cs="宋体"/>
                <w:color w:val="000000"/>
                <w:kern w:val="0"/>
                <w:szCs w:val="21"/>
              </w:rPr>
            </w:pPr>
            <w:r>
              <w:rPr>
                <w:rFonts w:hint="eastAsia" w:ascii="宋体" w:hAnsi="宋体" w:cs="宋体"/>
                <w:color w:val="000000"/>
                <w:kern w:val="0"/>
                <w:szCs w:val="21"/>
              </w:rPr>
              <w:t>2只</w:t>
            </w:r>
          </w:p>
        </w:tc>
      </w:tr>
      <w:tr w14:paraId="28F8FC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01C9D185">
            <w:pPr>
              <w:widowControl/>
              <w:snapToGrid w:val="0"/>
              <w:spacing w:line="240" w:lineRule="auto"/>
              <w:jc w:val="center"/>
              <w:rPr>
                <w:rFonts w:ascii="宋体" w:hAnsi="宋体" w:cs="宋体"/>
                <w:bCs/>
                <w:szCs w:val="21"/>
              </w:rPr>
            </w:pPr>
            <w:r>
              <w:rPr>
                <w:rFonts w:hint="eastAsia" w:ascii="宋体" w:hAnsi="宋体" w:cs="宋体"/>
                <w:bCs/>
                <w:szCs w:val="21"/>
              </w:rPr>
              <w:t>17</w:t>
            </w:r>
          </w:p>
        </w:tc>
        <w:tc>
          <w:tcPr>
            <w:tcW w:w="950" w:type="pct"/>
            <w:shd w:val="clear" w:color="auto" w:fill="FFFFFF"/>
            <w:noWrap w:val="0"/>
            <w:vAlign w:val="top"/>
          </w:tcPr>
          <w:p w14:paraId="7AA8F6B7">
            <w:pPr>
              <w:spacing w:line="240" w:lineRule="auto"/>
              <w:rPr>
                <w:rFonts w:hint="eastAsia"/>
              </w:rPr>
            </w:pPr>
            <w:r>
              <w:rPr>
                <w:rFonts w:hint="eastAsia"/>
              </w:rPr>
              <w:t>线阵列低音音箱功放</w:t>
            </w:r>
          </w:p>
        </w:tc>
        <w:tc>
          <w:tcPr>
            <w:tcW w:w="2991" w:type="pct"/>
            <w:shd w:val="clear" w:color="auto" w:fill="FFFFFF"/>
            <w:noWrap w:val="0"/>
            <w:vAlign w:val="center"/>
          </w:tcPr>
          <w:p w14:paraId="6947AB2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1、专业铝合金型材面板，1U高度设计；</w:t>
            </w:r>
          </w:p>
          <w:p w14:paraId="3FAE44D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2、D类数字功率放大器； </w:t>
            </w:r>
          </w:p>
          <w:p w14:paraId="38334D3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3、具有开机电源软启动功能、短路、过载、直流、过热保护、变压器过热保护和DC漂移等多重检测保护性能；</w:t>
            </w:r>
          </w:p>
          <w:p w14:paraId="4B19CE9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4、两个XLR孔形卡侬输入插座，两个XLR孔形卡侬信号并接插座，两个SPEAKON输出快装接口，一个网络控制接口RJ45，一个RS-485控制接口；</w:t>
            </w:r>
          </w:p>
          <w:p w14:paraId="4468846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5、具有低通功能；提供第三方有权检测机构出具的具有CMA或CNAS标识检测报告影印件或扫描件；</w:t>
            </w:r>
          </w:p>
          <w:p w14:paraId="2F12A14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6、输出功率：2X700W/8Ω；</w:t>
            </w:r>
          </w:p>
          <w:p w14:paraId="6F98B8B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7、频率响应：20Hz—20KHz±1dB；</w:t>
            </w:r>
          </w:p>
          <w:p w14:paraId="29334A5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8、总谐波失真：THD≤0.1%（10%额定输出功率，1KHz）；</w:t>
            </w:r>
          </w:p>
          <w:p w14:paraId="4283B68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9、输入灵敏度：0dBu(775mV)；</w:t>
            </w:r>
          </w:p>
          <w:p w14:paraId="359FDD5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10、输入阻抗：平衡20KΩ，不平衡10KΩ；</w:t>
            </w:r>
          </w:p>
          <w:p w14:paraId="28C77FC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11、信噪比（A计权）：≥100dB；</w:t>
            </w:r>
          </w:p>
          <w:p w14:paraId="765BBD0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12、电压适应范围：AC～110-240V/50-60Hz；</w:t>
            </w:r>
          </w:p>
          <w:p w14:paraId="3DE7059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13、产品经过1500V AC（10mA）下冲击60s无损坏耐压测试；</w:t>
            </w:r>
          </w:p>
          <w:p w14:paraId="56CABEF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14、阻尼系数：≥250；（实际597）</w:t>
            </w:r>
          </w:p>
          <w:p w14:paraId="0DF51D4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15、工作模式：立体声、桥接、并接；</w:t>
            </w:r>
          </w:p>
          <w:p w14:paraId="6E40DB6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16、完整的LED工作状态指示灯（电源、信号、削峰、保护、网络）；</w:t>
            </w:r>
          </w:p>
        </w:tc>
        <w:tc>
          <w:tcPr>
            <w:tcW w:w="758" w:type="pct"/>
            <w:noWrap w:val="0"/>
            <w:vAlign w:val="center"/>
          </w:tcPr>
          <w:p w14:paraId="60CB234C">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2台</w:t>
            </w:r>
          </w:p>
        </w:tc>
      </w:tr>
      <w:tr w14:paraId="1E938E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73AFF921">
            <w:pPr>
              <w:widowControl/>
              <w:snapToGrid w:val="0"/>
              <w:spacing w:line="240" w:lineRule="auto"/>
              <w:jc w:val="center"/>
              <w:rPr>
                <w:rFonts w:hint="eastAsia" w:ascii="宋体" w:hAnsi="宋体" w:cs="宋体"/>
                <w:bCs/>
                <w:szCs w:val="21"/>
              </w:rPr>
            </w:pPr>
            <w:r>
              <w:rPr>
                <w:rFonts w:hint="eastAsia" w:ascii="宋体" w:hAnsi="宋体" w:cs="宋体"/>
                <w:bCs/>
                <w:szCs w:val="21"/>
              </w:rPr>
              <w:t>18</w:t>
            </w:r>
          </w:p>
        </w:tc>
        <w:tc>
          <w:tcPr>
            <w:tcW w:w="950" w:type="pct"/>
            <w:shd w:val="clear" w:color="auto" w:fill="FFFFFF"/>
            <w:noWrap w:val="0"/>
            <w:vAlign w:val="center"/>
          </w:tcPr>
          <w:p w14:paraId="278D3893">
            <w:pPr>
              <w:spacing w:line="240" w:lineRule="auto"/>
              <w:jc w:val="center"/>
              <w:rPr>
                <w:rFonts w:hint="eastAsia"/>
              </w:rPr>
            </w:pPr>
            <w:r>
              <w:rPr>
                <w:rFonts w:hint="eastAsia"/>
              </w:rPr>
              <w:t>返听音箱</w:t>
            </w:r>
          </w:p>
        </w:tc>
        <w:tc>
          <w:tcPr>
            <w:tcW w:w="2991" w:type="pct"/>
            <w:shd w:val="clear" w:color="auto" w:fill="FFFFFF"/>
            <w:noWrap w:val="0"/>
            <w:vAlign w:val="center"/>
          </w:tcPr>
          <w:p w14:paraId="3F2956D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1、额定功率（RMS）/额定功率（AES）：160W/200 W ；</w:t>
            </w:r>
          </w:p>
          <w:p w14:paraId="7667359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2、额定阻抗： 8Ωx80%；</w:t>
            </w:r>
          </w:p>
          <w:p w14:paraId="4EF9A24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3、指定频带内的特性灵敏度：96dB±2dB； </w:t>
            </w:r>
          </w:p>
          <w:p w14:paraId="731510C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4、连续声压级： 118 dB ±2dB ；</w:t>
            </w:r>
          </w:p>
          <w:p w14:paraId="36EE6E2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5、最大声压级： 124dB±2dB ； </w:t>
            </w:r>
          </w:p>
          <w:p w14:paraId="22A16D4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6、额定频率范围 : 65Hz ～ 18kHz； </w:t>
            </w:r>
          </w:p>
          <w:p w14:paraId="0012BF3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7、覆盖角度（H×V）： 90º×60º； </w:t>
            </w:r>
          </w:p>
          <w:p w14:paraId="18C0139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8、扬声器单元： LF:8″×1 ； HF:1″×1；</w:t>
            </w:r>
          </w:p>
        </w:tc>
        <w:tc>
          <w:tcPr>
            <w:tcW w:w="758" w:type="pct"/>
            <w:noWrap w:val="0"/>
            <w:vAlign w:val="center"/>
          </w:tcPr>
          <w:p w14:paraId="7AEBE162">
            <w:pPr>
              <w:widowControl/>
              <w:spacing w:line="240" w:lineRule="auto"/>
              <w:jc w:val="center"/>
              <w:rPr>
                <w:rFonts w:hint="eastAsia" w:ascii="宋体" w:hAnsi="宋体" w:cs="宋体"/>
                <w:color w:val="000000"/>
                <w:kern w:val="0"/>
                <w:szCs w:val="21"/>
              </w:rPr>
            </w:pPr>
            <w:r>
              <w:rPr>
                <w:rFonts w:hint="eastAsia" w:ascii="宋体" w:hAnsi="宋体" w:cs="宋体"/>
                <w:color w:val="000000"/>
                <w:kern w:val="0"/>
                <w:szCs w:val="21"/>
              </w:rPr>
              <w:t>4只</w:t>
            </w:r>
          </w:p>
        </w:tc>
      </w:tr>
      <w:tr w14:paraId="46C2DF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1D92DD76">
            <w:pPr>
              <w:widowControl/>
              <w:snapToGrid w:val="0"/>
              <w:spacing w:line="240" w:lineRule="auto"/>
              <w:jc w:val="center"/>
              <w:rPr>
                <w:rFonts w:hint="eastAsia" w:ascii="宋体" w:hAnsi="宋体" w:cs="宋体"/>
                <w:bCs/>
                <w:szCs w:val="21"/>
              </w:rPr>
            </w:pPr>
            <w:r>
              <w:rPr>
                <w:rFonts w:hint="eastAsia" w:ascii="宋体" w:hAnsi="宋体" w:cs="宋体"/>
                <w:bCs/>
                <w:szCs w:val="21"/>
              </w:rPr>
              <w:t>19</w:t>
            </w:r>
          </w:p>
        </w:tc>
        <w:tc>
          <w:tcPr>
            <w:tcW w:w="950" w:type="pct"/>
            <w:shd w:val="clear" w:color="auto" w:fill="FFFFFF"/>
            <w:noWrap w:val="0"/>
            <w:vAlign w:val="center"/>
          </w:tcPr>
          <w:p w14:paraId="43769E55">
            <w:pPr>
              <w:widowControl/>
              <w:snapToGrid w:val="0"/>
              <w:spacing w:line="240" w:lineRule="auto"/>
              <w:jc w:val="center"/>
              <w:rPr>
                <w:rFonts w:hint="eastAsia" w:ascii="宋体" w:hAnsi="宋体" w:cs="宋体"/>
                <w:bCs/>
                <w:szCs w:val="21"/>
              </w:rPr>
            </w:pPr>
            <w:r>
              <w:rPr>
                <w:rFonts w:hint="eastAsia" w:ascii="宋体" w:hAnsi="宋体" w:cs="宋体"/>
                <w:bCs/>
                <w:szCs w:val="21"/>
              </w:rPr>
              <w:t>数字调音台</w:t>
            </w:r>
          </w:p>
        </w:tc>
        <w:tc>
          <w:tcPr>
            <w:tcW w:w="2991" w:type="pct"/>
            <w:shd w:val="clear" w:color="auto" w:fill="FFFFFF"/>
            <w:noWrap w:val="0"/>
            <w:vAlign w:val="center"/>
          </w:tcPr>
          <w:p w14:paraId="580C713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1、12路话筒/线路（COMBO XLR孔型卡侬接口，兼容1/4〃 TRS插座），2组立体声(RCA插座）；</w:t>
            </w:r>
          </w:p>
          <w:p w14:paraId="3380489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2、2路主输出（XLR卡侬公座），6路编组输出（XLR卡侬公座），1组立体声辅助输出（1/4〃 TRS插座），1组立体声耳机输出（1/4〃 TRS插座）；</w:t>
            </w:r>
          </w:p>
          <w:p w14:paraId="1306F2D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3、7寸电容触摸屏1024x600分辨率；</w:t>
            </w:r>
          </w:p>
          <w:p w14:paraId="1316B08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4、9个100mm电动推子；</w:t>
            </w:r>
          </w:p>
          <w:p w14:paraId="5A7DE70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5、中英文界面随时切换无需重启；</w:t>
            </w:r>
          </w:p>
          <w:p w14:paraId="6B7956A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6、整机31个按键：参数编辑区6个（主页、场景、播放/暂停、效果、电平表、设置，各一个），通道控制区18个（哑音9个、通道选择9个），快捷键4个（系统哑音1个、自定义快捷键3个），通道层选择3个；</w:t>
            </w:r>
          </w:p>
          <w:p w14:paraId="2236904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7、整机旋钮7个：压限器控制3个（增益、阈值、压限值，各一个），参量均衡控制3个（频率/带宽、增益/带宽、Q值，各一个），参数编辑1个；</w:t>
            </w:r>
          </w:p>
          <w:p w14:paraId="2430970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8、RJ45网口：1个，USB接口：1个，SR-232接口：1个；</w:t>
            </w:r>
          </w:p>
          <w:p w14:paraId="72A4475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9、内置USB录音、放音功能，USB播放器可以识别中文歌曲名；</w:t>
            </w:r>
          </w:p>
          <w:p w14:paraId="306A3C9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10、内置12个通道独立的反馈抑制器、集成音箱管理器；</w:t>
            </w:r>
          </w:p>
          <w:p w14:paraId="1663338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11、具有增益共享型自动混音（AMM）；</w:t>
            </w:r>
          </w:p>
          <w:p w14:paraId="17AF6B9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12、支持RS-232、TCP/IP协议，便于第三方中控控制；</w:t>
            </w:r>
          </w:p>
          <w:p w14:paraId="4F2F408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13、带2个DCA分组；</w:t>
            </w:r>
          </w:p>
          <w:p w14:paraId="75A680E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14、支持PC端、Android端、IOS端控制（iPad触摸屏全功能控制，实时数据同步）；</w:t>
            </w:r>
          </w:p>
          <w:p w14:paraId="4547DEE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15、内置1个效果器模块，可任意分配输入、输出，效果器有3段PEQ，高低通可调节；</w:t>
            </w:r>
          </w:p>
          <w:p w14:paraId="4031B9B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16、可通过网络或者U盘进行系统升级；</w:t>
            </w:r>
          </w:p>
          <w:p w14:paraId="16F699D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17、每个输入通道具有4段参量均衡、噪声门、反馈抑制器、高低通、压缩、反相；</w:t>
            </w:r>
          </w:p>
          <w:p w14:paraId="583E785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18、每个输出通道具有8段参量均衡、高低通、压缩、反相；</w:t>
            </w:r>
          </w:p>
          <w:p w14:paraId="13F78F2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19、6个BUS和2个AUX混音总线可选择推子前、推子后（PRE/POST）；</w:t>
            </w:r>
          </w:p>
          <w:p w14:paraId="3F4323F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20、支持100组场景预设功能，可从USB存储器或电脑导出、导入，便于数据备份；</w:t>
            </w:r>
          </w:p>
          <w:p w14:paraId="5ED3350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21、PEQ模式单机支持100个独立存储，其支持PEQ数据单独的导入导出；</w:t>
            </w:r>
          </w:p>
          <w:p w14:paraId="12ED793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22、内置信号发生器：正弦波、粉红噪声、白噪声；</w:t>
            </w:r>
          </w:p>
          <w:p w14:paraId="6B92E47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23、通道参数拷贝功能，相同的通道快速复制数据；</w:t>
            </w:r>
          </w:p>
          <w:p w14:paraId="25839BB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24、接线方式：平衡式输入、输出卡侬</w:t>
            </w:r>
          </w:p>
          <w:p w14:paraId="380FD27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25、8个推子编组、1个总静音、3个自定义按钮（可设置为通道静音及静音编组、调用场景、临时锁）；</w:t>
            </w:r>
          </w:p>
          <w:p w14:paraId="69E32D4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26、支持多个终端同时控制</w:t>
            </w:r>
          </w:p>
        </w:tc>
        <w:tc>
          <w:tcPr>
            <w:tcW w:w="758" w:type="pct"/>
            <w:noWrap w:val="0"/>
            <w:vAlign w:val="center"/>
          </w:tcPr>
          <w:p w14:paraId="499E1568">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r>
      <w:tr w14:paraId="4952FC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78D1D63A">
            <w:pPr>
              <w:widowControl/>
              <w:snapToGrid w:val="0"/>
              <w:spacing w:line="240" w:lineRule="auto"/>
              <w:jc w:val="center"/>
              <w:rPr>
                <w:rFonts w:hint="eastAsia" w:ascii="宋体" w:hAnsi="宋体" w:cs="宋体"/>
                <w:bCs/>
                <w:szCs w:val="21"/>
              </w:rPr>
            </w:pPr>
            <w:r>
              <w:rPr>
                <w:rFonts w:hint="eastAsia" w:ascii="宋体" w:hAnsi="宋体" w:cs="宋体"/>
                <w:bCs/>
                <w:szCs w:val="21"/>
              </w:rPr>
              <w:t>20</w:t>
            </w:r>
          </w:p>
        </w:tc>
        <w:tc>
          <w:tcPr>
            <w:tcW w:w="950" w:type="pct"/>
            <w:shd w:val="clear" w:color="auto" w:fill="FFFFFF"/>
            <w:noWrap w:val="0"/>
            <w:vAlign w:val="top"/>
          </w:tcPr>
          <w:p w14:paraId="5C319CB6">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991" w:type="pct"/>
            <w:shd w:val="clear" w:color="auto" w:fill="FFFFFF"/>
            <w:noWrap w:val="0"/>
            <w:vAlign w:val="center"/>
          </w:tcPr>
          <w:p w14:paraId="72B268C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100寸</w:t>
            </w:r>
          </w:p>
        </w:tc>
        <w:tc>
          <w:tcPr>
            <w:tcW w:w="758" w:type="pct"/>
            <w:noWrap w:val="0"/>
            <w:vAlign w:val="center"/>
          </w:tcPr>
          <w:p w14:paraId="178F45A5">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r>
      <w:tr w14:paraId="43BB04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03B33CD3">
            <w:pPr>
              <w:widowControl/>
              <w:snapToGrid w:val="0"/>
              <w:spacing w:line="240" w:lineRule="auto"/>
              <w:jc w:val="center"/>
              <w:rPr>
                <w:rFonts w:hint="eastAsia" w:ascii="宋体" w:hAnsi="宋体" w:cs="宋体"/>
                <w:bCs/>
                <w:szCs w:val="21"/>
              </w:rPr>
            </w:pPr>
            <w:r>
              <w:rPr>
                <w:rFonts w:hint="eastAsia" w:ascii="宋体" w:hAnsi="宋体" w:cs="宋体"/>
                <w:bCs/>
                <w:szCs w:val="21"/>
              </w:rPr>
              <w:t>21</w:t>
            </w:r>
          </w:p>
        </w:tc>
        <w:tc>
          <w:tcPr>
            <w:tcW w:w="950" w:type="pct"/>
            <w:shd w:val="clear" w:color="auto" w:fill="FFFFFF"/>
            <w:noWrap w:val="0"/>
            <w:vAlign w:val="top"/>
          </w:tcPr>
          <w:p w14:paraId="664FB5E0">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991" w:type="pct"/>
            <w:shd w:val="clear" w:color="auto" w:fill="FFFFFF"/>
            <w:noWrap w:val="0"/>
            <w:vAlign w:val="center"/>
          </w:tcPr>
          <w:p w14:paraId="633622C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85寸</w:t>
            </w:r>
          </w:p>
        </w:tc>
        <w:tc>
          <w:tcPr>
            <w:tcW w:w="758" w:type="pct"/>
            <w:noWrap w:val="0"/>
            <w:vAlign w:val="center"/>
          </w:tcPr>
          <w:p w14:paraId="698A7003">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r>
      <w:tr w14:paraId="1CD9F4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4F3C0173">
            <w:pPr>
              <w:widowControl/>
              <w:snapToGrid w:val="0"/>
              <w:spacing w:line="240" w:lineRule="auto"/>
              <w:jc w:val="center"/>
              <w:rPr>
                <w:rFonts w:hint="eastAsia" w:ascii="宋体" w:hAnsi="宋体" w:cs="宋体"/>
                <w:bCs/>
                <w:szCs w:val="21"/>
              </w:rPr>
            </w:pPr>
            <w:r>
              <w:rPr>
                <w:rFonts w:hint="eastAsia" w:ascii="宋体" w:hAnsi="宋体" w:cs="宋体"/>
                <w:bCs/>
                <w:szCs w:val="21"/>
              </w:rPr>
              <w:t>22</w:t>
            </w:r>
          </w:p>
        </w:tc>
        <w:tc>
          <w:tcPr>
            <w:tcW w:w="950" w:type="pct"/>
            <w:shd w:val="clear" w:color="auto" w:fill="FFFFFF"/>
            <w:noWrap w:val="0"/>
            <w:vAlign w:val="top"/>
          </w:tcPr>
          <w:p w14:paraId="189CD4B2">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991" w:type="pct"/>
            <w:shd w:val="clear" w:color="auto" w:fill="FFFFFF"/>
            <w:noWrap w:val="0"/>
            <w:vAlign w:val="center"/>
          </w:tcPr>
          <w:p w14:paraId="338CB93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75寸</w:t>
            </w:r>
          </w:p>
        </w:tc>
        <w:tc>
          <w:tcPr>
            <w:tcW w:w="758" w:type="pct"/>
            <w:noWrap w:val="0"/>
            <w:vAlign w:val="center"/>
          </w:tcPr>
          <w:p w14:paraId="70348AE4">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2台</w:t>
            </w:r>
          </w:p>
        </w:tc>
      </w:tr>
      <w:tr w14:paraId="448AF9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11925427">
            <w:pPr>
              <w:widowControl/>
              <w:snapToGrid w:val="0"/>
              <w:spacing w:line="240" w:lineRule="auto"/>
              <w:jc w:val="center"/>
              <w:rPr>
                <w:rFonts w:hint="eastAsia" w:ascii="宋体" w:hAnsi="宋体" w:cs="宋体"/>
                <w:bCs/>
                <w:szCs w:val="21"/>
              </w:rPr>
            </w:pPr>
            <w:r>
              <w:rPr>
                <w:rFonts w:hint="eastAsia" w:ascii="宋体" w:hAnsi="宋体" w:cs="宋体"/>
                <w:bCs/>
                <w:szCs w:val="21"/>
              </w:rPr>
              <w:t>23</w:t>
            </w:r>
          </w:p>
        </w:tc>
        <w:tc>
          <w:tcPr>
            <w:tcW w:w="950" w:type="pct"/>
            <w:shd w:val="clear" w:color="auto" w:fill="FFFFFF"/>
            <w:noWrap w:val="0"/>
            <w:vAlign w:val="top"/>
          </w:tcPr>
          <w:p w14:paraId="687930F0">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991" w:type="pct"/>
            <w:shd w:val="clear" w:color="auto" w:fill="FFFFFF"/>
            <w:noWrap w:val="0"/>
            <w:vAlign w:val="center"/>
          </w:tcPr>
          <w:p w14:paraId="16B0FA6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55寸</w:t>
            </w:r>
          </w:p>
        </w:tc>
        <w:tc>
          <w:tcPr>
            <w:tcW w:w="758" w:type="pct"/>
            <w:noWrap w:val="0"/>
            <w:vAlign w:val="center"/>
          </w:tcPr>
          <w:p w14:paraId="7005656D">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r>
      <w:tr w14:paraId="7A3EFB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63C97F88">
            <w:pPr>
              <w:widowControl/>
              <w:snapToGrid w:val="0"/>
              <w:spacing w:line="240" w:lineRule="auto"/>
              <w:jc w:val="center"/>
              <w:rPr>
                <w:rFonts w:hint="eastAsia" w:ascii="宋体" w:hAnsi="宋体" w:cs="宋体"/>
                <w:bCs/>
                <w:szCs w:val="21"/>
              </w:rPr>
            </w:pPr>
            <w:r>
              <w:rPr>
                <w:rFonts w:hint="eastAsia" w:ascii="宋体" w:hAnsi="宋体" w:cs="宋体"/>
                <w:bCs/>
                <w:szCs w:val="21"/>
              </w:rPr>
              <w:t>24</w:t>
            </w:r>
          </w:p>
        </w:tc>
        <w:tc>
          <w:tcPr>
            <w:tcW w:w="950" w:type="pct"/>
            <w:shd w:val="clear" w:color="auto" w:fill="FFFFFF"/>
            <w:noWrap w:val="0"/>
            <w:vAlign w:val="top"/>
          </w:tcPr>
          <w:p w14:paraId="599C8321">
            <w:pPr>
              <w:widowControl/>
              <w:snapToGrid w:val="0"/>
              <w:spacing w:line="240" w:lineRule="auto"/>
              <w:jc w:val="center"/>
              <w:rPr>
                <w:rFonts w:hint="eastAsia" w:ascii="宋体" w:hAnsi="宋体" w:cs="宋体"/>
                <w:bCs/>
                <w:szCs w:val="21"/>
              </w:rPr>
            </w:pPr>
          </w:p>
          <w:p w14:paraId="32A36EF3">
            <w:pPr>
              <w:widowControl/>
              <w:snapToGrid w:val="0"/>
              <w:spacing w:line="240" w:lineRule="auto"/>
              <w:jc w:val="center"/>
              <w:rPr>
                <w:rFonts w:hint="eastAsia" w:ascii="宋体" w:hAnsi="宋体" w:cs="宋体"/>
                <w:bCs/>
                <w:szCs w:val="21"/>
              </w:rPr>
            </w:pPr>
          </w:p>
          <w:p w14:paraId="6E384496">
            <w:pPr>
              <w:widowControl/>
              <w:snapToGrid w:val="0"/>
              <w:spacing w:line="240" w:lineRule="auto"/>
              <w:jc w:val="center"/>
              <w:rPr>
                <w:rFonts w:hint="eastAsia" w:ascii="宋体" w:hAnsi="宋体" w:cs="宋体"/>
                <w:bCs/>
                <w:szCs w:val="21"/>
              </w:rPr>
            </w:pPr>
            <w:r>
              <w:rPr>
                <w:rFonts w:hint="eastAsia" w:ascii="宋体" w:hAnsi="宋体" w:cs="宋体"/>
                <w:bCs/>
                <w:szCs w:val="21"/>
              </w:rPr>
              <w:t>广播系统</w:t>
            </w:r>
          </w:p>
        </w:tc>
        <w:tc>
          <w:tcPr>
            <w:tcW w:w="2991" w:type="pct"/>
            <w:shd w:val="clear" w:color="auto" w:fill="FFFFFF"/>
            <w:noWrap w:val="0"/>
            <w:vAlign w:val="center"/>
          </w:tcPr>
          <w:p w14:paraId="4BDF92A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广播系统包括功放1台、吸顶喇叭13台、IP话筒1只</w:t>
            </w:r>
          </w:p>
          <w:p w14:paraId="378E693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产品包含全套配件及辅材，包括运输、本体安装、现场规范移交对接培训和基本操作培训；含配套所有线材；包括一年内免费上门售后服务、技术指导费、差旅费等所有调试及售后服务费用的全部内容。</w:t>
            </w:r>
          </w:p>
        </w:tc>
        <w:tc>
          <w:tcPr>
            <w:tcW w:w="758" w:type="pct"/>
            <w:noWrap w:val="0"/>
            <w:vAlign w:val="center"/>
          </w:tcPr>
          <w:p w14:paraId="59EDA860">
            <w:pPr>
              <w:widowControl/>
              <w:spacing w:line="240" w:lineRule="auto"/>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1套</w:t>
            </w:r>
          </w:p>
        </w:tc>
      </w:tr>
      <w:tr w14:paraId="67FDB2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4B7162DF">
            <w:pPr>
              <w:widowControl/>
              <w:snapToGrid w:val="0"/>
              <w:spacing w:line="240" w:lineRule="auto"/>
              <w:jc w:val="center"/>
              <w:rPr>
                <w:rFonts w:hint="eastAsia" w:ascii="宋体" w:hAnsi="宋体" w:cs="宋体"/>
                <w:bCs/>
                <w:szCs w:val="21"/>
              </w:rPr>
            </w:pPr>
            <w:r>
              <w:rPr>
                <w:rFonts w:hint="eastAsia" w:ascii="宋体" w:hAnsi="宋体" w:cs="宋体"/>
                <w:bCs/>
                <w:szCs w:val="21"/>
              </w:rPr>
              <w:t>2</w:t>
            </w:r>
            <w:r>
              <w:rPr>
                <w:rFonts w:ascii="宋体" w:hAnsi="宋体" w:cs="宋体"/>
                <w:bCs/>
                <w:szCs w:val="21"/>
              </w:rPr>
              <w:t>5</w:t>
            </w:r>
          </w:p>
        </w:tc>
        <w:tc>
          <w:tcPr>
            <w:tcW w:w="950" w:type="pct"/>
            <w:shd w:val="clear" w:color="auto" w:fill="FFFFFF"/>
            <w:noWrap w:val="0"/>
            <w:vAlign w:val="center"/>
          </w:tcPr>
          <w:p w14:paraId="3AA76AC5">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无线覆盖系统</w:t>
            </w:r>
          </w:p>
        </w:tc>
        <w:tc>
          <w:tcPr>
            <w:tcW w:w="2991" w:type="pct"/>
            <w:shd w:val="clear" w:color="auto" w:fill="FFFFFF"/>
            <w:noWrap w:val="0"/>
            <w:vAlign w:val="center"/>
          </w:tcPr>
          <w:p w14:paraId="20F6B00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无线覆盖系统包括安全网关1台、24口千兆POE交换机1台、千兆WiFi6 AP 23台。</w:t>
            </w:r>
          </w:p>
          <w:p w14:paraId="33C9D02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产品包全套配件及辅材，包括运输、本体安装、现场规范移交对接培训和基本操作培训；含配套所有线材；包括一年内免费上门售后服务、技术指导费、差旅费等所有调试及售后服务费用的全部内容。</w:t>
            </w:r>
          </w:p>
        </w:tc>
        <w:tc>
          <w:tcPr>
            <w:tcW w:w="758" w:type="pct"/>
            <w:noWrap w:val="0"/>
            <w:vAlign w:val="center"/>
          </w:tcPr>
          <w:p w14:paraId="7A12D3D2">
            <w:pPr>
              <w:widowControl/>
              <w:spacing w:line="240" w:lineRule="auto"/>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1套</w:t>
            </w:r>
          </w:p>
        </w:tc>
      </w:tr>
      <w:tr w14:paraId="6E64D1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00" w:type="pct"/>
            <w:shd w:val="clear" w:color="auto" w:fill="auto"/>
            <w:noWrap w:val="0"/>
            <w:vAlign w:val="center"/>
          </w:tcPr>
          <w:p w14:paraId="7A2A274E">
            <w:pPr>
              <w:widowControl/>
              <w:snapToGrid w:val="0"/>
              <w:spacing w:line="240" w:lineRule="auto"/>
              <w:jc w:val="center"/>
              <w:rPr>
                <w:rFonts w:hint="eastAsia" w:ascii="宋体" w:hAnsi="宋体" w:cs="宋体"/>
                <w:bCs/>
                <w:szCs w:val="21"/>
              </w:rPr>
            </w:pPr>
            <w:r>
              <w:rPr>
                <w:rFonts w:hint="eastAsia" w:ascii="宋体" w:hAnsi="宋体" w:cs="宋体"/>
                <w:bCs/>
                <w:szCs w:val="21"/>
              </w:rPr>
              <w:t>2</w:t>
            </w:r>
            <w:r>
              <w:rPr>
                <w:rFonts w:ascii="宋体" w:hAnsi="宋体" w:cs="宋体"/>
                <w:bCs/>
                <w:szCs w:val="21"/>
              </w:rPr>
              <w:t>6</w:t>
            </w:r>
          </w:p>
        </w:tc>
        <w:tc>
          <w:tcPr>
            <w:tcW w:w="950" w:type="pct"/>
            <w:shd w:val="clear" w:color="auto" w:fill="FFFFFF"/>
            <w:noWrap w:val="0"/>
            <w:vAlign w:val="center"/>
          </w:tcPr>
          <w:p w14:paraId="5B9956FC">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展厅视频控制系统</w:t>
            </w:r>
          </w:p>
        </w:tc>
        <w:tc>
          <w:tcPr>
            <w:tcW w:w="2991" w:type="pct"/>
            <w:shd w:val="clear" w:color="auto" w:fill="FFFFFF"/>
            <w:noWrap w:val="0"/>
            <w:vAlign w:val="center"/>
          </w:tcPr>
          <w:p w14:paraId="253AE1E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1、1U金属结构机箱；外壳防护等级符合 GB/T 4208-2017中 IP20 的要求；噪声不大于 45dB（A）；6核12线程3.30GHz主频高速处理器、16G DDR4 2666 高速内存、250 固态硬盘，企业版操作系统；MTBF 不小于300000 小时，平均修复时间 MTTR小于15 分钟；(投标人提供CNAS认可的检测机构出具的测试报告并加盖生产厂商鲜章）</w:t>
            </w:r>
          </w:p>
          <w:p w14:paraId="1994EB6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2、支持1 路 DP 输出，接口分辨率可设置为4096*2160@60Hz，单接口极限宽度可设置为 8192，单口极限高度可设置 4095。支持4 路 HDMI 输出，第一个接口可设置为 4K 模式，分辨率可以设置为 4096*2160@60Hz，单接口极限宽度可设置为 8192，单口极限高度可设置 4095，此时另外三个 HDMI 接口禁用。第一个接口设置为 2K 模式时，4 个 HDMI 口可同时输出，分辨率设置为 1920*1080@60hz,单口极限宽度 2048，极限高度 1280；(投标人提供CNAS认可的检测机构出具的测试报告并加盖生产厂商鲜章）</w:t>
            </w:r>
          </w:p>
          <w:p w14:paraId="20ED708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3、支持一键硬件开关机控制和一键软件远程开关机控制，支持6路 USB 接口、1 路 3.5mm 麦克风音频输入接口、1 路 3.5mm音频输出接口，支持千兆网口通讯，支持第三方通过 TCP、UDP 进行集成控制；(投标人提供CNAS认可的检测机构出具的测试报告并加盖生产厂商鲜章）</w:t>
            </w:r>
          </w:p>
          <w:p w14:paraId="7C05DBF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4、支持不少于10 台设备联机控制，通过一台主机控制其他从机进行素材下发、画面编辑、属性编辑、节目切换、进度调整；(投标人提供CNAS认可的检测机构出具的测试报告并加盖生产厂商鲜章）</w:t>
            </w:r>
          </w:p>
          <w:p w14:paraId="7E78D85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支持输出接口的任意拆分重组以及任意角度旋转，实现对不规则显示屏的拼接带载；支持1路4K输出，可以拆分成1024个子输出，每个子输出支持任意角度旋转，可对子输出接口位置任意进行排序；(投标人提供CNAS认可的检测机构出具的测试报告并加盖生产厂商鲜章）</w:t>
            </w:r>
          </w:p>
          <w:p w14:paraId="75A50D6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6、支持可视化智控平台移动端程序对播放画面的编辑和控制；(投标人提供CNAS认可的检测机构出具的测试报告并加盖生产厂商鲜章）</w:t>
            </w:r>
          </w:p>
          <w:p w14:paraId="117387E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7、支持从本地媒体画面或输入源画面中拾取颜色，然后按照拾取的颜色进行抠像处理；支持在媒体库中添加本地的视频文件、图片文件、音频文件、字幕、数字时钟、PPT 文件、NDI 媒体、采集设备、多网页、流媒体、播放合集；(投标人提供CNAS认可的检测机构出具的测试报告并加盖生产厂商鲜章）</w:t>
            </w:r>
          </w:p>
          <w:p w14:paraId="2C098CC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支持节目整体播放、暂停、停止、音量调节，单个媒体的音量调节，单个视频裁剪，支持多画面同时播放时按照主计时媒体进行跳转，节目锁定。支持排期播放和播放日志查看功能。支持软件异常后恢复正常播放的功能；(投标人提供CNAS认可的检测机构出具的测试报告并加盖生产厂商鲜章）</w:t>
            </w:r>
          </w:p>
          <w:p w14:paraId="4297757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支持素材可视化编辑、拖拽、复制、黏贴、多选、锁定、替换，属性调节和属性继承；支持节目的编辑、复制、黏贴；支持素材播控进度的自由控制、正计时、倒计时进度查看，支持输出画面解锁功能；(投标人提供CNAS认可的检测机构出具的测试报告并加盖生产厂商鲜章）</w:t>
            </w:r>
          </w:p>
          <w:p w14:paraId="728CA54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10、支持多页签功能播放多个网页，降低网页播放资源占用；支持转码功能，可实现 H.264（AVC）、H.265（HEVC）编码或 VP9 编码的转码播放；(投标人提供CNAS认可的检测机构出具的测试报告并加盖生产厂商鲜章）</w:t>
            </w:r>
          </w:p>
          <w:p w14:paraId="7514196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11、支持多种视频、图片、音频、office文件的播放；视频格式支持不少于：H.265 (HEVC)、 VP9、HAP, HAP-Alpha、VC1、AV1、ProRes、MPEG4、WMV2等；图片格式支持不少于：jpeg、bmp、png、gif等；音频格式支持不少于：aac、flac、amr、ape、wav、wma等；office文件支持不少于：ppt、pptx；(投标人提供CNAS认可的检测机构出具的测试报告并加盖生产厂商鲜章）</w:t>
            </w:r>
          </w:p>
          <w:p w14:paraId="6AAC574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12、提供所投产品3C认证、产品彩页等证明材料；（投标人提供证明材料复印件并加盖生产厂商鲜章）</w:t>
            </w:r>
          </w:p>
          <w:p w14:paraId="4E1E5C4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13、提供全媒体总控平台软件著作权证书;（投标人提供证明材料复印件并加盖生产厂商鲜章）</w:t>
            </w:r>
          </w:p>
          <w:p w14:paraId="41D630A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14、为了保证产品质量所投产品厂家至少需具有ISO9001质量管理体系认证、ISO14001环境管理体系认证、ISO45001职业健康安全管理体系认证等证书；（投标人提供证明材料复印件并加盖生产厂商鲜章）"</w:t>
            </w:r>
          </w:p>
          <w:p w14:paraId="3B3D2F9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展厅视频控制系统包括显示屏播控服务器2台、4K播放盒1台、控制平板1台</w:t>
            </w:r>
          </w:p>
          <w:p w14:paraId="00138E2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产品包全套配件及辅材，包括运输、本体安装、现场规范移交对接培训和基本操作培训；含配套所有线材；包括一年内免费上门售后服务、技术指导费、差旅费等所有调试及售后服务费用的全部内容。</w:t>
            </w:r>
          </w:p>
        </w:tc>
        <w:tc>
          <w:tcPr>
            <w:tcW w:w="758" w:type="pct"/>
            <w:noWrap w:val="0"/>
            <w:vAlign w:val="center"/>
          </w:tcPr>
          <w:p w14:paraId="35404142">
            <w:pPr>
              <w:widowControl/>
              <w:spacing w:line="240" w:lineRule="auto"/>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1套</w:t>
            </w:r>
          </w:p>
        </w:tc>
      </w:tr>
    </w:tbl>
    <w:p w14:paraId="1D32E141">
      <w:pPr>
        <w:keepNext w:val="0"/>
        <w:keepLines w:val="0"/>
        <w:pageBreakBefore w:val="0"/>
        <w:widowControl w:val="0"/>
        <w:kinsoku/>
        <w:wordWrap/>
        <w:overflowPunct/>
        <w:topLinePunct w:val="0"/>
        <w:autoSpaceDE/>
        <w:autoSpaceDN/>
        <w:bidi w:val="0"/>
        <w:adjustRightInd/>
        <w:snapToGrid/>
        <w:spacing w:line="360" w:lineRule="exact"/>
        <w:ind w:right="42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p>
    <w:p w14:paraId="45B7C7EC">
      <w:pPr>
        <w:rPr>
          <w:rFonts w:hint="eastAsia"/>
        </w:rPr>
        <w:sectPr>
          <w:footerReference r:id="rId4" w:type="default"/>
          <w:pgSz w:w="11906" w:h="16838"/>
          <w:pgMar w:top="1440" w:right="1274" w:bottom="1440" w:left="1276" w:header="851" w:footer="992" w:gutter="0"/>
          <w:cols w:space="425" w:num="1"/>
          <w:docGrid w:type="lines" w:linePitch="312" w:charSpace="0"/>
        </w:sectPr>
      </w:pPr>
    </w:p>
    <w:p w14:paraId="5AF880A1">
      <w:pPr>
        <w:jc w:val="center"/>
        <w:rPr>
          <w:rFonts w:hint="eastAsia" w:ascii="Times New Roman" w:hAnsi="Times New Roman" w:eastAsia="宋体" w:cs="Times New Roman"/>
          <w:b/>
          <w:bCs/>
          <w:sz w:val="36"/>
          <w:szCs w:val="36"/>
        </w:rPr>
      </w:pPr>
      <w:bookmarkStart w:id="80" w:name="_Toc9834_WPSOffice_Level1"/>
    </w:p>
    <w:p w14:paraId="72486D2C">
      <w:pPr>
        <w:jc w:val="center"/>
        <w:rPr>
          <w:rFonts w:hint="eastAsia" w:ascii="Times New Roman" w:hAnsi="Times New Roman" w:eastAsia="宋体" w:cs="Times New Roman"/>
          <w:b/>
          <w:bCs/>
          <w:sz w:val="36"/>
          <w:szCs w:val="36"/>
        </w:rPr>
      </w:pPr>
    </w:p>
    <w:p w14:paraId="3B86008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ascii="Times New Roman" w:hAnsi="Times New Roman" w:eastAsia="宋体" w:cs="Times New Roman"/>
          <w:b/>
          <w:bCs/>
          <w:sz w:val="36"/>
          <w:szCs w:val="36"/>
        </w:rPr>
        <w:t>响应文件格式</w:t>
      </w:r>
      <w:bookmarkEnd w:id="80"/>
    </w:p>
    <w:p w14:paraId="7763D1C1">
      <w:pPr>
        <w:rPr>
          <w:rFonts w:ascii="Times New Roman" w:hAnsi="Times New Roman" w:eastAsia="宋体" w:cs="Times New Roman"/>
        </w:rPr>
      </w:pPr>
    </w:p>
    <w:p w14:paraId="22D0F2AA">
      <w:pPr>
        <w:spacing w:line="440" w:lineRule="exact"/>
        <w:rPr>
          <w:rFonts w:ascii="Times New Roman" w:hAnsi="Times New Roman" w:eastAsia="黑体" w:cs="Times New Roman"/>
          <w:sz w:val="20"/>
          <w:szCs w:val="20"/>
        </w:rPr>
      </w:pPr>
    </w:p>
    <w:p w14:paraId="5DD3855D">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2DA1F8EA">
      <w:pPr>
        <w:spacing w:line="440" w:lineRule="exact"/>
        <w:rPr>
          <w:rFonts w:ascii="Times New Roman" w:hAnsi="Times New Roman" w:eastAsia="黑体" w:cs="Times New Roman"/>
          <w:sz w:val="20"/>
          <w:szCs w:val="20"/>
        </w:rPr>
      </w:pPr>
    </w:p>
    <w:p w14:paraId="667DB4F8">
      <w:pPr>
        <w:spacing w:line="440" w:lineRule="exact"/>
        <w:rPr>
          <w:rFonts w:ascii="Times New Roman" w:hAnsi="Times New Roman" w:eastAsia="黑体" w:cs="Times New Roman"/>
          <w:sz w:val="40"/>
          <w:szCs w:val="40"/>
        </w:rPr>
      </w:pPr>
    </w:p>
    <w:p w14:paraId="182645DE">
      <w:pPr>
        <w:spacing w:line="440" w:lineRule="exact"/>
        <w:jc w:val="center"/>
        <w:rPr>
          <w:rFonts w:ascii="Times New Roman" w:hAnsi="Times New Roman" w:eastAsia="黑体" w:cs="Times New Roman"/>
          <w:sz w:val="40"/>
          <w:szCs w:val="40"/>
        </w:rPr>
      </w:pPr>
    </w:p>
    <w:p w14:paraId="54138A91">
      <w:pPr>
        <w:spacing w:line="440" w:lineRule="exact"/>
        <w:jc w:val="center"/>
        <w:rPr>
          <w:rFonts w:ascii="Times New Roman" w:hAnsi="Times New Roman" w:eastAsia="黑体" w:cs="Times New Roman"/>
          <w:sz w:val="40"/>
          <w:szCs w:val="40"/>
        </w:rPr>
      </w:pPr>
    </w:p>
    <w:p w14:paraId="44292DF0">
      <w:pPr>
        <w:spacing w:line="440" w:lineRule="exact"/>
        <w:jc w:val="center"/>
        <w:rPr>
          <w:rFonts w:ascii="Times New Roman" w:hAnsi="Times New Roman" w:eastAsia="黑体" w:cs="Times New Roman"/>
          <w:sz w:val="40"/>
          <w:szCs w:val="40"/>
        </w:rPr>
      </w:pPr>
    </w:p>
    <w:p w14:paraId="715A180B">
      <w:pPr>
        <w:jc w:val="center"/>
        <w:rPr>
          <w:rFonts w:ascii="Times New Roman" w:hAnsi="Times New Roman" w:eastAsia="黑体" w:cs="Times New Roman"/>
          <w:sz w:val="50"/>
          <w:szCs w:val="50"/>
        </w:rPr>
      </w:pPr>
      <w:bookmarkStart w:id="81" w:name="_Toc5145_WPSOffice_Level1"/>
      <w:bookmarkStart w:id="82" w:name="_Toc27552_WPSOffice_Level1"/>
      <w:bookmarkStart w:id="83" w:name="_Toc17394_WPSOffice_Level1"/>
      <w:bookmarkStart w:id="84" w:name="_Toc1914_WPSOffice_Level1"/>
      <w:r>
        <w:rPr>
          <w:rFonts w:ascii="Times New Roman" w:hAnsi="Times New Roman" w:eastAsia="黑体" w:cs="Times New Roman"/>
          <w:sz w:val="50"/>
          <w:szCs w:val="50"/>
        </w:rPr>
        <w:t>响应文件</w:t>
      </w:r>
      <w:bookmarkEnd w:id="81"/>
      <w:bookmarkEnd w:id="82"/>
      <w:bookmarkEnd w:id="83"/>
      <w:bookmarkEnd w:id="84"/>
    </w:p>
    <w:p w14:paraId="77B788A0">
      <w:pPr>
        <w:spacing w:line="440" w:lineRule="exact"/>
        <w:rPr>
          <w:rFonts w:ascii="Times New Roman" w:hAnsi="Times New Roman" w:eastAsia="黑体" w:cs="Times New Roman"/>
          <w:sz w:val="20"/>
          <w:szCs w:val="20"/>
        </w:rPr>
      </w:pPr>
    </w:p>
    <w:p w14:paraId="5EEC24CB">
      <w:pPr>
        <w:spacing w:line="440" w:lineRule="exact"/>
        <w:rPr>
          <w:rFonts w:ascii="Times New Roman" w:hAnsi="Times New Roman" w:eastAsia="黑体" w:cs="Times New Roman"/>
          <w:sz w:val="20"/>
          <w:szCs w:val="20"/>
        </w:rPr>
      </w:pPr>
    </w:p>
    <w:p w14:paraId="641E30A3">
      <w:pPr>
        <w:spacing w:line="440" w:lineRule="exact"/>
        <w:rPr>
          <w:rFonts w:ascii="Times New Roman" w:hAnsi="Times New Roman" w:eastAsia="黑体" w:cs="Times New Roman"/>
          <w:sz w:val="20"/>
          <w:szCs w:val="20"/>
        </w:rPr>
      </w:pPr>
    </w:p>
    <w:p w14:paraId="0590A7B9">
      <w:pPr>
        <w:spacing w:line="440" w:lineRule="exact"/>
        <w:rPr>
          <w:rFonts w:ascii="Times New Roman" w:hAnsi="Times New Roman" w:eastAsia="黑体" w:cs="Times New Roman"/>
          <w:sz w:val="20"/>
          <w:szCs w:val="20"/>
        </w:rPr>
      </w:pPr>
    </w:p>
    <w:p w14:paraId="490981E6">
      <w:pPr>
        <w:spacing w:line="440" w:lineRule="exact"/>
        <w:rPr>
          <w:rFonts w:ascii="Times New Roman" w:hAnsi="Times New Roman" w:eastAsia="黑体" w:cs="Times New Roman"/>
          <w:sz w:val="20"/>
          <w:szCs w:val="20"/>
        </w:rPr>
      </w:pPr>
    </w:p>
    <w:p w14:paraId="3D6B8C16">
      <w:pPr>
        <w:spacing w:line="440" w:lineRule="exact"/>
        <w:rPr>
          <w:rFonts w:ascii="Times New Roman" w:hAnsi="Times New Roman" w:eastAsia="黑体" w:cs="Times New Roman"/>
          <w:sz w:val="20"/>
          <w:szCs w:val="20"/>
        </w:rPr>
      </w:pPr>
    </w:p>
    <w:p w14:paraId="66DFE0D2">
      <w:pPr>
        <w:spacing w:line="440" w:lineRule="exact"/>
        <w:rPr>
          <w:rFonts w:ascii="Times New Roman" w:hAnsi="Times New Roman" w:eastAsia="黑体" w:cs="Times New Roman"/>
          <w:sz w:val="20"/>
          <w:szCs w:val="20"/>
        </w:rPr>
      </w:pPr>
    </w:p>
    <w:p w14:paraId="203C1BFF">
      <w:pPr>
        <w:spacing w:line="440" w:lineRule="exact"/>
        <w:rPr>
          <w:rFonts w:ascii="Times New Roman" w:hAnsi="Times New Roman" w:eastAsia="黑体" w:cs="Times New Roman"/>
          <w:sz w:val="20"/>
          <w:szCs w:val="20"/>
        </w:rPr>
      </w:pPr>
    </w:p>
    <w:p w14:paraId="55FBF308">
      <w:pPr>
        <w:spacing w:line="440" w:lineRule="exact"/>
        <w:rPr>
          <w:rFonts w:ascii="Times New Roman" w:hAnsi="Times New Roman" w:eastAsia="黑体" w:cs="Times New Roman"/>
          <w:sz w:val="20"/>
          <w:szCs w:val="20"/>
        </w:rPr>
      </w:pPr>
    </w:p>
    <w:p w14:paraId="46C71173">
      <w:pPr>
        <w:spacing w:line="440" w:lineRule="exact"/>
        <w:rPr>
          <w:rFonts w:ascii="Times New Roman" w:hAnsi="Times New Roman" w:eastAsia="黑体" w:cs="Times New Roman"/>
          <w:sz w:val="20"/>
          <w:szCs w:val="20"/>
        </w:rPr>
      </w:pPr>
    </w:p>
    <w:p w14:paraId="5DBD4D5B">
      <w:pPr>
        <w:spacing w:line="440" w:lineRule="exact"/>
        <w:jc w:val="center"/>
        <w:rPr>
          <w:rFonts w:hint="eastAsia" w:ascii="Times New Roman" w:hAnsi="Times New Roman" w:eastAsia="黑体" w:cs="Times New Roman"/>
          <w:sz w:val="28"/>
          <w:szCs w:val="28"/>
          <w:lang w:eastAsia="zh-CN"/>
        </w:rPr>
      </w:pPr>
      <w:bookmarkStart w:id="85" w:name="_Toc5520_WPSOffice_Level2"/>
      <w:bookmarkStart w:id="86"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5"/>
      <w:bookmarkEnd w:id="86"/>
      <w:r>
        <w:rPr>
          <w:rFonts w:hint="eastAsia" w:ascii="Times New Roman" w:hAnsi="Times New Roman" w:eastAsia="黑体" w:cs="Times New Roman"/>
          <w:sz w:val="28"/>
          <w:szCs w:val="28"/>
          <w:u w:val="single"/>
          <w:lang w:eastAsia="zh-CN"/>
        </w:rPr>
        <w:t>）</w:t>
      </w:r>
    </w:p>
    <w:p w14:paraId="14C1B387">
      <w:pPr>
        <w:spacing w:line="440" w:lineRule="exact"/>
        <w:ind w:firstLine="2158" w:firstLineChars="771"/>
        <w:rPr>
          <w:rFonts w:ascii="Times New Roman" w:hAnsi="Times New Roman" w:eastAsia="黑体" w:cs="Times New Roman"/>
          <w:sz w:val="28"/>
          <w:szCs w:val="28"/>
        </w:rPr>
      </w:pPr>
    </w:p>
    <w:p w14:paraId="7CED85BE">
      <w:pPr>
        <w:spacing w:line="440" w:lineRule="exact"/>
        <w:jc w:val="center"/>
        <w:rPr>
          <w:rFonts w:ascii="Times New Roman" w:hAnsi="Times New Roman" w:eastAsia="黑体" w:cs="Times New Roman"/>
          <w:sz w:val="28"/>
          <w:szCs w:val="28"/>
        </w:rPr>
      </w:pPr>
      <w:bookmarkStart w:id="87" w:name="_Toc20076_WPSOffice_Level2"/>
      <w:bookmarkStart w:id="88"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7"/>
      <w:bookmarkEnd w:id="88"/>
    </w:p>
    <w:p w14:paraId="5D856076">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bookmarkStart w:id="89" w:name="_Toc21974_WPSOffice_Level2"/>
      <w:bookmarkStart w:id="90" w:name="_Toc22351_WPSOffice_Level2"/>
    </w:p>
    <w:p w14:paraId="65AD5037">
      <w:pPr>
        <w:spacing w:line="440" w:lineRule="exact"/>
        <w:jc w:val="center"/>
        <w:rPr>
          <w:rFonts w:ascii="Times New Roman" w:hAnsi="Times New Roman" w:eastAsia="黑体" w:cs="Times New Roman"/>
          <w:sz w:val="20"/>
          <w:szCs w:val="20"/>
        </w:rPr>
      </w:pPr>
    </w:p>
    <w:p w14:paraId="5615ECC2">
      <w:pPr>
        <w:spacing w:line="440" w:lineRule="exact"/>
        <w:jc w:val="both"/>
        <w:rPr>
          <w:rFonts w:ascii="Times New Roman" w:hAnsi="Times New Roman" w:eastAsia="黑体" w:cs="Times New Roman"/>
          <w:sz w:val="28"/>
          <w:szCs w:val="28"/>
        </w:rPr>
      </w:pPr>
    </w:p>
    <w:p w14:paraId="396CF90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目录</w:t>
      </w:r>
      <w:bookmarkEnd w:id="89"/>
      <w:bookmarkEnd w:id="90"/>
    </w:p>
    <w:p w14:paraId="114A45DE">
      <w:pPr>
        <w:spacing w:line="440" w:lineRule="exact"/>
        <w:rPr>
          <w:rFonts w:ascii="Times New Roman" w:hAnsi="Times New Roman" w:eastAsia="黑体" w:cs="Times New Roman"/>
          <w:sz w:val="20"/>
          <w:szCs w:val="20"/>
        </w:rPr>
      </w:pPr>
    </w:p>
    <w:p w14:paraId="21049960">
      <w:pPr>
        <w:spacing w:line="440" w:lineRule="exact"/>
        <w:ind w:left="1619" w:leftChars="771"/>
        <w:rPr>
          <w:rFonts w:ascii="Times New Roman" w:hAnsi="Times New Roman" w:eastAsia="黑体" w:cs="Times New Roman"/>
          <w:sz w:val="24"/>
        </w:rPr>
      </w:pPr>
      <w:bookmarkStart w:id="91" w:name="_Toc30529_WPSOffice_Level1"/>
      <w:bookmarkStart w:id="92" w:name="_Toc6353_WPSOffice_Level1"/>
      <w:bookmarkStart w:id="93" w:name="_Toc11424_WPSOffice_Level1"/>
      <w:bookmarkStart w:id="94" w:name="_Toc23368_WPSOffice_Level1"/>
      <w:bookmarkStart w:id="95" w:name="_Toc12670_WPSOffice_Level1"/>
    </w:p>
    <w:p w14:paraId="60C027D3">
      <w:pPr>
        <w:spacing w:line="440" w:lineRule="exact"/>
        <w:ind w:left="1619" w:leftChars="771"/>
        <w:rPr>
          <w:rFonts w:ascii="Times New Roman" w:hAnsi="Times New Roman" w:eastAsia="黑体" w:cs="Times New Roman"/>
          <w:sz w:val="24"/>
        </w:rPr>
      </w:pPr>
      <w:r>
        <w:rPr>
          <w:rFonts w:ascii="Times New Roman" w:hAnsi="Times New Roman" w:eastAsia="黑体" w:cs="Times New Roman"/>
          <w:sz w:val="24"/>
        </w:rPr>
        <w:t>一、报价函</w:t>
      </w:r>
      <w:bookmarkEnd w:id="91"/>
      <w:bookmarkEnd w:id="92"/>
      <w:bookmarkEnd w:id="93"/>
      <w:bookmarkEnd w:id="94"/>
    </w:p>
    <w:p w14:paraId="3206E851">
      <w:pPr>
        <w:spacing w:line="440" w:lineRule="exact"/>
        <w:ind w:left="1619" w:leftChars="771"/>
        <w:rPr>
          <w:rFonts w:ascii="Times New Roman" w:hAnsi="Times New Roman" w:eastAsia="黑体" w:cs="Times New Roman"/>
          <w:sz w:val="24"/>
        </w:rPr>
      </w:pPr>
      <w:bookmarkStart w:id="96" w:name="_Toc5317_WPSOffice_Level1"/>
      <w:bookmarkStart w:id="97" w:name="_Toc21229_WPSOffice_Level1"/>
      <w:bookmarkStart w:id="98" w:name="_Toc32729_WPSOffice_Level1"/>
      <w:bookmarkStart w:id="99" w:name="_Toc31927_WPSOffice_Level1"/>
      <w:r>
        <w:rPr>
          <w:rFonts w:ascii="Times New Roman" w:hAnsi="Times New Roman" w:eastAsia="黑体" w:cs="Times New Roman"/>
          <w:sz w:val="24"/>
        </w:rPr>
        <w:t>二、法定代表人身份证明及授权委托书</w:t>
      </w:r>
      <w:bookmarkEnd w:id="96"/>
      <w:bookmarkEnd w:id="97"/>
      <w:bookmarkEnd w:id="98"/>
      <w:bookmarkEnd w:id="99"/>
    </w:p>
    <w:p w14:paraId="5C0B2AF3">
      <w:pPr>
        <w:spacing w:line="440" w:lineRule="exact"/>
        <w:ind w:left="1619" w:leftChars="771"/>
        <w:rPr>
          <w:rFonts w:ascii="Times New Roman" w:hAnsi="Times New Roman" w:eastAsia="黑体" w:cs="Times New Roman"/>
          <w:sz w:val="24"/>
        </w:rPr>
      </w:pPr>
      <w:bookmarkStart w:id="100" w:name="_Toc25965_WPSOffice_Level1"/>
      <w:bookmarkStart w:id="101" w:name="_Toc23356_WPSOffice_Level1"/>
      <w:bookmarkStart w:id="102" w:name="_Toc4728_WPSOffice_Level1"/>
      <w:bookmarkStart w:id="103" w:name="_Toc29085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100"/>
      <w:bookmarkEnd w:id="101"/>
      <w:bookmarkEnd w:id="102"/>
      <w:bookmarkEnd w:id="103"/>
      <w:r>
        <w:rPr>
          <w:rFonts w:hint="eastAsia" w:ascii="Times New Roman" w:hAnsi="Times New Roman" w:eastAsia="黑体" w:cs="Times New Roman"/>
          <w:sz w:val="24"/>
        </w:rPr>
        <w:t>报价清单</w:t>
      </w:r>
    </w:p>
    <w:p w14:paraId="2F5F61A6">
      <w:pPr>
        <w:spacing w:line="440" w:lineRule="exact"/>
        <w:ind w:left="1619" w:leftChars="771"/>
        <w:rPr>
          <w:rFonts w:ascii="Times New Roman" w:hAnsi="Times New Roman" w:eastAsia="黑体" w:cs="Times New Roman"/>
          <w:sz w:val="24"/>
        </w:rPr>
      </w:pPr>
      <w:bookmarkStart w:id="104" w:name="_Toc7453_WPSOffice_Level1"/>
      <w:bookmarkStart w:id="105" w:name="_Toc10608_WPSOffice_Level1"/>
      <w:bookmarkStart w:id="106" w:name="_Toc18964_WPSOffice_Level1"/>
      <w:bookmarkStart w:id="107" w:name="_Toc2374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4"/>
      <w:bookmarkEnd w:id="105"/>
      <w:bookmarkEnd w:id="106"/>
      <w:bookmarkEnd w:id="107"/>
      <w:r>
        <w:rPr>
          <w:rFonts w:hint="eastAsia" w:ascii="Times New Roman" w:hAnsi="Times New Roman" w:eastAsia="黑体" w:cs="Times New Roman"/>
          <w:sz w:val="24"/>
        </w:rPr>
        <w:t>供应商基本情况</w:t>
      </w:r>
    </w:p>
    <w:p w14:paraId="62DB0949">
      <w:pPr>
        <w:spacing w:line="440" w:lineRule="exact"/>
        <w:ind w:left="1619" w:leftChars="771"/>
        <w:rPr>
          <w:rFonts w:ascii="Times New Roman" w:hAnsi="Times New Roman" w:eastAsia="黑体" w:cs="Times New Roman"/>
          <w:sz w:val="24"/>
        </w:rPr>
      </w:pPr>
      <w:bookmarkStart w:id="108" w:name="_Toc23751_WPSOffice_Level1"/>
      <w:bookmarkStart w:id="109" w:name="_Toc9006_WPSOffice_Level1"/>
      <w:bookmarkStart w:id="110" w:name="_Toc1578_WPSOffice_Level1"/>
      <w:bookmarkStart w:id="111" w:name="_Toc19601_WPSOffice_Level1"/>
      <w:r>
        <w:rPr>
          <w:rFonts w:hint="eastAsia" w:ascii="Times New Roman" w:hAnsi="Times New Roman" w:eastAsia="黑体" w:cs="Times New Roman"/>
          <w:sz w:val="24"/>
        </w:rPr>
        <w:t>五、</w:t>
      </w:r>
      <w:bookmarkEnd w:id="108"/>
      <w:bookmarkEnd w:id="109"/>
      <w:bookmarkEnd w:id="110"/>
      <w:bookmarkEnd w:id="111"/>
      <w:r>
        <w:rPr>
          <w:rFonts w:hint="eastAsia" w:ascii="Times New Roman" w:hAnsi="Times New Roman" w:eastAsia="黑体" w:cs="Times New Roman"/>
          <w:sz w:val="24"/>
        </w:rPr>
        <w:t>近年类似业绩情况</w:t>
      </w:r>
    </w:p>
    <w:p w14:paraId="0856975D">
      <w:pPr>
        <w:spacing w:line="440" w:lineRule="exact"/>
        <w:ind w:left="1619" w:leftChars="771"/>
        <w:rPr>
          <w:rFonts w:ascii="Times New Roman" w:hAnsi="Times New Roman" w:eastAsia="黑体" w:cs="Times New Roman"/>
          <w:sz w:val="24"/>
        </w:rPr>
      </w:pPr>
      <w:bookmarkStart w:id="112" w:name="_Toc31314_WPSOffice_Level1"/>
      <w:bookmarkStart w:id="113" w:name="_Toc24082_WPSOffice_Level1"/>
      <w:bookmarkStart w:id="114" w:name="_Toc12459_WPSOffice_Level1"/>
      <w:bookmarkStart w:id="115"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2"/>
      <w:bookmarkEnd w:id="113"/>
      <w:r>
        <w:rPr>
          <w:rFonts w:hint="eastAsia" w:ascii="Times New Roman" w:hAnsi="Times New Roman" w:eastAsia="黑体" w:cs="Times New Roman"/>
          <w:sz w:val="24"/>
        </w:rPr>
        <w:t>信誉情况</w:t>
      </w:r>
    </w:p>
    <w:p w14:paraId="4CEE74CD">
      <w:pPr>
        <w:spacing w:line="440" w:lineRule="exact"/>
        <w:ind w:left="1619" w:leftChars="771"/>
        <w:rPr>
          <w:rFonts w:ascii="Times New Roman" w:hAnsi="Times New Roman" w:eastAsia="黑体" w:cs="Times New Roman"/>
          <w:sz w:val="24"/>
        </w:rPr>
      </w:pPr>
      <w:bookmarkStart w:id="116" w:name="_Toc20930_WPSOffice_Level1"/>
      <w:bookmarkStart w:id="117" w:name="_Toc32220_WPSOffice_Level1"/>
      <w:r>
        <w:rPr>
          <w:rFonts w:hint="eastAsia" w:ascii="Times New Roman" w:hAnsi="Times New Roman" w:eastAsia="黑体" w:cs="Times New Roman"/>
          <w:sz w:val="24"/>
        </w:rPr>
        <w:t>七</w:t>
      </w:r>
      <w:bookmarkEnd w:id="114"/>
      <w:bookmarkEnd w:id="115"/>
      <w:bookmarkEnd w:id="116"/>
      <w:bookmarkEnd w:id="117"/>
      <w:bookmarkStart w:id="118" w:name="_Toc25804_WPSOffice_Level1"/>
      <w:bookmarkStart w:id="119" w:name="_Toc27403_WPSOffice_Level1"/>
      <w:bookmarkStart w:id="120" w:name="_Toc32648_WPSOffice_Level1"/>
      <w:bookmarkStart w:id="121" w:name="_Toc30273_WPSOffice_Level1"/>
      <w:r>
        <w:rPr>
          <w:rFonts w:ascii="Times New Roman" w:hAnsi="Times New Roman" w:eastAsia="黑体" w:cs="Times New Roman"/>
          <w:sz w:val="24"/>
        </w:rPr>
        <w:t>、</w:t>
      </w:r>
      <w:bookmarkEnd w:id="118"/>
      <w:bookmarkEnd w:id="119"/>
      <w:bookmarkEnd w:id="120"/>
      <w:bookmarkEnd w:id="121"/>
      <w:r>
        <w:rPr>
          <w:rFonts w:hint="eastAsia" w:ascii="Times New Roman" w:hAnsi="Times New Roman" w:eastAsia="黑体" w:cs="Times New Roman"/>
          <w:sz w:val="24"/>
        </w:rPr>
        <w:t>技术性能（质量）指标描述</w:t>
      </w:r>
    </w:p>
    <w:p w14:paraId="29F77AB5">
      <w:pPr>
        <w:spacing w:line="440" w:lineRule="exact"/>
        <w:ind w:left="1619" w:leftChars="771"/>
        <w:rPr>
          <w:rFonts w:ascii="Times New Roman" w:hAnsi="Times New Roman" w:eastAsia="黑体" w:cs="Times New Roman"/>
          <w:sz w:val="24"/>
        </w:rPr>
      </w:pPr>
      <w:bookmarkStart w:id="122" w:name="_Toc32152_WPSOffice_Level1"/>
      <w:bookmarkStart w:id="123" w:name="_Toc23147_WPSOffice_Level1"/>
      <w:bookmarkStart w:id="124" w:name="_Toc30234_WPSOffice_Level1"/>
      <w:bookmarkStart w:id="125" w:name="_Toc4051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2"/>
      <w:bookmarkEnd w:id="123"/>
      <w:bookmarkEnd w:id="124"/>
      <w:bookmarkEnd w:id="125"/>
      <w:r>
        <w:rPr>
          <w:rFonts w:hint="eastAsia" w:ascii="Times New Roman" w:hAnsi="Times New Roman" w:eastAsia="黑体" w:cs="Times New Roman"/>
          <w:sz w:val="24"/>
        </w:rPr>
        <w:t>供货方案</w:t>
      </w:r>
    </w:p>
    <w:p w14:paraId="246212B0">
      <w:pPr>
        <w:spacing w:line="440" w:lineRule="exact"/>
        <w:ind w:left="1619" w:leftChars="771"/>
        <w:rPr>
          <w:rFonts w:ascii="Times New Roman" w:hAnsi="Times New Roman" w:eastAsia="黑体" w:cs="Times New Roman"/>
          <w:sz w:val="24"/>
        </w:rPr>
      </w:pPr>
      <w:bookmarkStart w:id="126" w:name="_Toc16988_WPSOffice_Level1"/>
      <w:bookmarkStart w:id="127" w:name="_Toc5885_WPSOffice_Level1"/>
      <w:r>
        <w:rPr>
          <w:rFonts w:hint="eastAsia" w:ascii="Times New Roman" w:hAnsi="Times New Roman" w:eastAsia="黑体" w:cs="Times New Roman"/>
          <w:sz w:val="24"/>
        </w:rPr>
        <w:t>九、其他材料</w:t>
      </w:r>
      <w:bookmarkEnd w:id="95"/>
      <w:bookmarkEnd w:id="126"/>
      <w:bookmarkEnd w:id="127"/>
    </w:p>
    <w:p w14:paraId="06EE45BB">
      <w:pPr>
        <w:spacing w:line="440" w:lineRule="exact"/>
        <w:ind w:left="1619" w:leftChars="771"/>
        <w:rPr>
          <w:rFonts w:ascii="Times New Roman" w:hAnsi="Times New Roman" w:eastAsia="黑体" w:cs="Times New Roman"/>
          <w:sz w:val="24"/>
        </w:rPr>
      </w:pPr>
    </w:p>
    <w:p w14:paraId="1DA355C3">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28" w:name="_Toc2765_WPSOffice_Level1"/>
      <w:bookmarkStart w:id="129" w:name="_Toc29399_WPSOffice_Level1"/>
      <w:bookmarkStart w:id="130" w:name="_Toc18312_WPSOffice_Level1"/>
      <w:bookmarkStart w:id="131" w:name="_Toc1687_WPSOffice_Level1"/>
      <w:bookmarkStart w:id="132" w:name="_Toc30031_WPSOffice_Level1"/>
    </w:p>
    <w:p w14:paraId="2B11DFE7">
      <w:pPr>
        <w:numPr>
          <w:ilvl w:val="0"/>
          <w:numId w:val="0"/>
        </w:numPr>
        <w:spacing w:line="440" w:lineRule="exact"/>
        <w:jc w:val="both"/>
        <w:rPr>
          <w:rFonts w:ascii="Times New Roman" w:hAnsi="Times New Roman" w:eastAsia="黑体" w:cs="Times New Roman"/>
          <w:sz w:val="28"/>
          <w:szCs w:val="28"/>
        </w:rPr>
      </w:pPr>
    </w:p>
    <w:p w14:paraId="1DEA83B1">
      <w:pPr>
        <w:numPr>
          <w:ilvl w:val="0"/>
          <w:numId w:val="0"/>
        </w:num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lang w:eastAsia="zh-CN"/>
        </w:rPr>
        <w:t>一、</w:t>
      </w:r>
      <w:r>
        <w:rPr>
          <w:rFonts w:ascii="Times New Roman" w:hAnsi="Times New Roman" w:eastAsia="黑体" w:cs="Times New Roman"/>
          <w:sz w:val="28"/>
          <w:szCs w:val="28"/>
        </w:rPr>
        <w:t>报价函</w:t>
      </w:r>
      <w:bookmarkEnd w:id="128"/>
      <w:bookmarkEnd w:id="129"/>
      <w:bookmarkEnd w:id="130"/>
      <w:bookmarkEnd w:id="131"/>
      <w:bookmarkEnd w:id="132"/>
    </w:p>
    <w:p w14:paraId="01C36EB7">
      <w:pPr>
        <w:pStyle w:val="14"/>
        <w:numPr>
          <w:ilvl w:val="0"/>
          <w:numId w:val="0"/>
        </w:numPr>
        <w:ind w:leftChars="400"/>
      </w:pPr>
    </w:p>
    <w:p w14:paraId="0E9E3050">
      <w:pPr>
        <w:spacing w:line="44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(采购人名称)：</w:t>
      </w:r>
    </w:p>
    <w:p w14:paraId="436B37F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1．我方已仔细研究了</w:t>
      </w:r>
      <w:r>
        <w:rPr>
          <w:rFonts w:ascii="Times New Roman" w:hAnsi="Times New Roman" w:eastAsia="宋体" w:cs="Times New Roman"/>
          <w:sz w:val="24"/>
          <w:u w:val="single"/>
        </w:rPr>
        <w:t xml:space="preserve">      </w:t>
      </w:r>
      <w:r>
        <w:rPr>
          <w:rFonts w:ascii="Times New Roman" w:hAnsi="Times New Roman" w:eastAsia="宋体" w:cs="Times New Roman"/>
          <w:sz w:val="24"/>
        </w:rPr>
        <w:t>(项目名称)</w:t>
      </w:r>
      <w:r>
        <w:rPr>
          <w:rFonts w:ascii="Times New Roman" w:hAnsi="Times New Roman" w:eastAsia="宋体" w:cs="Times New Roman"/>
          <w:sz w:val="24"/>
          <w:u w:val="single"/>
        </w:rPr>
        <w:t xml:space="preserve"> / </w:t>
      </w:r>
      <w:r>
        <w:rPr>
          <w:rFonts w:ascii="Times New Roman" w:hAnsi="Times New Roman" w:eastAsia="宋体" w:cs="Times New Roman"/>
          <w:sz w:val="24"/>
        </w:rPr>
        <w:t>合同包询比文件的全部内容(含补遗书第__号至第__号)，愿意以人民币(大写)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(小写：¥</w:t>
      </w:r>
      <w:r>
        <w:rPr>
          <w:rFonts w:ascii="Times New Roman" w:hAnsi="Times New Roman" w:eastAsia="宋体" w:cs="Times New Roman"/>
          <w:sz w:val="24"/>
          <w:u w:val="single"/>
        </w:rPr>
        <w:t xml:space="preserve">       </w:t>
      </w:r>
      <w:r>
        <w:rPr>
          <w:rFonts w:ascii="Times New Roman" w:hAnsi="Times New Roman" w:eastAsia="宋体" w:cs="Times New Roman"/>
          <w:sz w:val="24"/>
        </w:rPr>
        <w:t>)的总报价，</w:t>
      </w:r>
      <w:r>
        <w:rPr>
          <w:rFonts w:hint="eastAsia" w:ascii="Times New Roman" w:hAnsi="Times New Roman" w:eastAsia="宋体" w:cs="Times New Roman"/>
          <w:sz w:val="24"/>
        </w:rPr>
        <w:t>交货期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lang w:val="en-US" w:eastAsia="zh-CN"/>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，按合同约定实施和完成</w:t>
      </w:r>
      <w:r>
        <w:rPr>
          <w:rFonts w:hint="eastAsia" w:ascii="Times New Roman" w:hAnsi="Times New Roman" w:eastAsia="宋体" w:cs="Times New Roman"/>
          <w:sz w:val="24"/>
        </w:rPr>
        <w:t>供货及提供相关服务</w:t>
      </w:r>
      <w:r>
        <w:rPr>
          <w:rFonts w:ascii="Times New Roman" w:hAnsi="Times New Roman" w:eastAsia="宋体" w:cs="Times New Roman"/>
          <w:sz w:val="24"/>
        </w:rPr>
        <w:t>，质量目标达到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采购文件要求</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09853DB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2．我方承诺在响应有效期内不修改、撤销响应文件。</w:t>
      </w:r>
    </w:p>
    <w:p w14:paraId="38DD3B23">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3．随同本报价函提交响应保证金一份，金额为人民币(大写)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元(¥</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35CF4EF0">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4．如我方成交：</w:t>
      </w:r>
    </w:p>
    <w:p w14:paraId="4A383DDF">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(1)我方承诺在收到成交通知书后，在成交通知书规定的期限内与你方签订合同。</w:t>
      </w:r>
    </w:p>
    <w:p w14:paraId="48EE2C5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(2)我方承诺按照询比文件规定向你方递交履约担保。</w:t>
      </w:r>
    </w:p>
    <w:p w14:paraId="3CA9B5D1">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(3)我方承诺在合同约定的期限内完成全部合同任务。</w:t>
      </w:r>
    </w:p>
    <w:p w14:paraId="65A85F3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5．我方在此声明，所递交的响应文件及有关资料内容完整、真实和准确。</w:t>
      </w:r>
    </w:p>
    <w:p w14:paraId="6AD9E9D9">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7．我方理解，你方不一定</w:t>
      </w:r>
      <w:r>
        <w:rPr>
          <w:rFonts w:hint="eastAsia" w:ascii="Times New Roman" w:hAnsi="Times New Roman" w:eastAsia="宋体" w:cs="Times New Roman"/>
          <w:sz w:val="24"/>
        </w:rPr>
        <w:t>接受</w:t>
      </w:r>
      <w:r>
        <w:rPr>
          <w:rFonts w:ascii="Times New Roman" w:hAnsi="Times New Roman" w:eastAsia="宋体" w:cs="Times New Roman"/>
          <w:sz w:val="24"/>
        </w:rPr>
        <w:t>任何报价。同时也理解，你方不负担我方的任何报价费用。</w:t>
      </w:r>
    </w:p>
    <w:p w14:paraId="5A1AEE14">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8.____________。</w:t>
      </w:r>
    </w:p>
    <w:p w14:paraId="73638E90">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供应商：</w:t>
      </w:r>
      <w:r>
        <w:rPr>
          <w:rFonts w:ascii="Times New Roman" w:hAnsi="Times New Roman" w:eastAsia="宋体" w:cs="Times New Roman"/>
          <w:sz w:val="24"/>
          <w:u w:val="single"/>
        </w:rPr>
        <w:t xml:space="preserve">                     </w:t>
      </w:r>
      <w:r>
        <w:rPr>
          <w:rFonts w:ascii="Times New Roman" w:hAnsi="Times New Roman" w:eastAsia="宋体" w:cs="Times New Roman"/>
          <w:sz w:val="24"/>
        </w:rPr>
        <w:t>(盖单位章)</w:t>
      </w:r>
    </w:p>
    <w:p w14:paraId="3B62B49E">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法定代表人</w:t>
      </w:r>
      <w:r>
        <w:rPr>
          <w:rFonts w:hint="eastAsia" w:ascii="Times New Roman" w:hAnsi="Times New Roman" w:eastAsia="宋体" w:cs="Times New Roman"/>
          <w:sz w:val="24"/>
        </w:rPr>
        <w:t>或委托代理人</w:t>
      </w:r>
      <w:r>
        <w:rPr>
          <w:rFonts w:ascii="Times New Roman" w:hAnsi="Times New Roman" w:eastAsia="宋体" w:cs="Times New Roman"/>
          <w:sz w:val="24"/>
        </w:rPr>
        <w:t>：</w:t>
      </w:r>
      <w:r>
        <w:rPr>
          <w:rFonts w:ascii="Times New Roman" w:hAnsi="Times New Roman" w:eastAsia="宋体" w:cs="Times New Roman"/>
          <w:sz w:val="24"/>
          <w:u w:val="single"/>
        </w:rPr>
        <w:t xml:space="preserve">        </w:t>
      </w:r>
      <w:r>
        <w:rPr>
          <w:rFonts w:ascii="Times New Roman" w:hAnsi="Times New Roman" w:eastAsia="宋体" w:cs="Times New Roman"/>
          <w:sz w:val="24"/>
        </w:rPr>
        <w:t>(</w:t>
      </w:r>
      <w:r>
        <w:rPr>
          <w:rFonts w:hint="eastAsia" w:ascii="Times New Roman" w:hAnsi="Times New Roman" w:eastAsia="宋体" w:cs="Times New Roman"/>
          <w:sz w:val="24"/>
        </w:rPr>
        <w:t>签名</w:t>
      </w:r>
      <w:r>
        <w:rPr>
          <w:rFonts w:ascii="Times New Roman" w:hAnsi="Times New Roman" w:eastAsia="宋体" w:cs="Times New Roman"/>
          <w:sz w:val="24"/>
        </w:rPr>
        <w:t>)</w:t>
      </w:r>
    </w:p>
    <w:p w14:paraId="3FD0AB72">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地址：</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16A8107F">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网址：</w:t>
      </w:r>
      <w:r>
        <w:rPr>
          <w:rFonts w:ascii="Times New Roman" w:hAnsi="Times New Roman" w:eastAsia="宋体" w:cs="Times New Roman"/>
          <w:sz w:val="24"/>
          <w:u w:val="single"/>
        </w:rPr>
        <w:t xml:space="preserve">                                     </w:t>
      </w:r>
    </w:p>
    <w:p w14:paraId="25EA62C9">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4877109E">
      <w:pPr>
        <w:spacing w:line="400" w:lineRule="exact"/>
        <w:ind w:firstLine="3420" w:firstLineChars="1425"/>
        <w:rPr>
          <w:rFonts w:ascii="Times New Roman" w:hAnsi="Times New Roman" w:eastAsia="宋体" w:cs="Times New Roman"/>
          <w:sz w:val="24"/>
        </w:rPr>
      </w:pPr>
      <w:r>
        <w:rPr>
          <w:rFonts w:hint="eastAsia" w:ascii="Times New Roman" w:hAnsi="Times New Roman" w:eastAsia="宋体" w:cs="Times New Roman"/>
          <w:sz w:val="24"/>
        </w:rPr>
        <w:t>电子邮箱</w:t>
      </w:r>
      <w:r>
        <w:rPr>
          <w:rFonts w:ascii="Times New Roman" w:hAnsi="Times New Roman" w:eastAsia="宋体" w:cs="Times New Roman"/>
          <w:sz w:val="24"/>
        </w:rPr>
        <w:t>：</w:t>
      </w:r>
      <w:r>
        <w:rPr>
          <w:rFonts w:ascii="Times New Roman" w:hAnsi="Times New Roman" w:eastAsia="宋体" w:cs="Times New Roman"/>
          <w:sz w:val="24"/>
          <w:u w:val="single"/>
        </w:rPr>
        <w:t xml:space="preserve">                                  </w:t>
      </w:r>
    </w:p>
    <w:p w14:paraId="1515697F">
      <w:pPr>
        <w:spacing w:line="400" w:lineRule="exact"/>
        <w:ind w:firstLine="4740" w:firstLineChars="1975"/>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年</w:t>
      </w:r>
      <w:r>
        <w:rPr>
          <w:rFonts w:ascii="Times New Roman" w:hAnsi="Times New Roman" w:eastAsia="宋体" w:cs="Times New Roman"/>
          <w:sz w:val="24"/>
          <w:u w:val="single"/>
        </w:rPr>
        <w:t xml:space="preserve">      </w:t>
      </w:r>
      <w:r>
        <w:rPr>
          <w:rFonts w:ascii="Times New Roman" w:hAnsi="Times New Roman" w:eastAsia="宋体" w:cs="Times New Roman"/>
          <w:sz w:val="24"/>
        </w:rPr>
        <w:t>月</w:t>
      </w:r>
      <w:r>
        <w:rPr>
          <w:rFonts w:ascii="Times New Roman" w:hAnsi="Times New Roman" w:eastAsia="宋体" w:cs="Times New Roman"/>
          <w:sz w:val="24"/>
          <w:u w:val="single"/>
        </w:rPr>
        <w:t xml:space="preserve">       </w:t>
      </w:r>
      <w:r>
        <w:rPr>
          <w:rFonts w:ascii="Times New Roman" w:hAnsi="Times New Roman" w:eastAsia="宋体" w:cs="Times New Roman"/>
          <w:sz w:val="24"/>
        </w:rPr>
        <w:t>日</w:t>
      </w:r>
    </w:p>
    <w:p w14:paraId="70737645">
      <w:pPr>
        <w:rPr>
          <w:rFonts w:ascii="Times New Roman" w:hAnsi="Times New Roman" w:eastAsia="宋体" w:cs="Times New Roman"/>
          <w:sz w:val="24"/>
        </w:rPr>
      </w:pPr>
      <w:r>
        <w:rPr>
          <w:rFonts w:ascii="Times New Roman" w:hAnsi="Times New Roman" w:eastAsia="宋体" w:cs="Times New Roman"/>
          <w:sz w:val="24"/>
        </w:rPr>
        <w:br w:type="page"/>
      </w:r>
    </w:p>
    <w:p w14:paraId="5EF6FC1C">
      <w:pPr>
        <w:rPr>
          <w:rFonts w:ascii="Times New Roman" w:hAnsi="Times New Roman" w:cs="Times New Roman"/>
          <w:sz w:val="24"/>
        </w:rPr>
      </w:pPr>
    </w:p>
    <w:p w14:paraId="0E94A0F0">
      <w:pPr>
        <w:spacing w:line="440" w:lineRule="exact"/>
        <w:jc w:val="center"/>
        <w:rPr>
          <w:rFonts w:ascii="Times New Roman" w:hAnsi="Times New Roman" w:eastAsia="黑体" w:cs="Times New Roman"/>
          <w:sz w:val="28"/>
          <w:szCs w:val="28"/>
        </w:rPr>
      </w:pPr>
      <w:bookmarkStart w:id="133" w:name="_Toc14563_WPSOffice_Level1"/>
      <w:bookmarkStart w:id="134" w:name="_Toc12530_WPSOffice_Level1"/>
      <w:bookmarkStart w:id="135" w:name="_Toc18668_WPSOffice_Level1"/>
      <w:bookmarkStart w:id="136" w:name="_Toc8695_WPSOffice_Level1"/>
      <w:bookmarkStart w:id="137" w:name="_Toc32350_WPSOffice_Level1"/>
      <w:r>
        <w:rPr>
          <w:rFonts w:ascii="Times New Roman" w:hAnsi="Times New Roman" w:eastAsia="黑体" w:cs="Times New Roman"/>
          <w:sz w:val="28"/>
          <w:szCs w:val="28"/>
        </w:rPr>
        <w:t>二、法定代表人身份证明及授权委托书</w:t>
      </w:r>
      <w:bookmarkEnd w:id="133"/>
      <w:bookmarkEnd w:id="134"/>
      <w:bookmarkEnd w:id="135"/>
      <w:bookmarkEnd w:id="136"/>
      <w:bookmarkEnd w:id="137"/>
    </w:p>
    <w:p w14:paraId="6CD78299">
      <w:pPr>
        <w:spacing w:line="440" w:lineRule="exact"/>
        <w:rPr>
          <w:rFonts w:ascii="Times New Roman" w:hAnsi="Times New Roman" w:cs="Times New Roman"/>
          <w:sz w:val="20"/>
          <w:szCs w:val="20"/>
        </w:rPr>
      </w:pPr>
    </w:p>
    <w:p w14:paraId="150527FC">
      <w:pPr>
        <w:spacing w:line="440" w:lineRule="exact"/>
        <w:jc w:val="center"/>
        <w:rPr>
          <w:rFonts w:ascii="Times New Roman" w:hAnsi="Times New Roman" w:cs="Times New Roman"/>
          <w:sz w:val="28"/>
          <w:szCs w:val="28"/>
        </w:rPr>
      </w:pPr>
      <w:bookmarkStart w:id="138" w:name="_Toc5153_WPSOffice_Level2"/>
      <w:bookmarkStart w:id="139" w:name="_Toc20803_WPSOffice_Level2"/>
      <w:r>
        <w:rPr>
          <w:rFonts w:ascii="Times New Roman" w:hAnsi="Times New Roman" w:eastAsia="黑体" w:cs="Times New Roman"/>
          <w:bCs/>
          <w:sz w:val="28"/>
          <w:szCs w:val="28"/>
        </w:rPr>
        <w:t>2-1 法定代表人身份证明</w:t>
      </w:r>
      <w:bookmarkEnd w:id="138"/>
      <w:bookmarkEnd w:id="139"/>
    </w:p>
    <w:p w14:paraId="36EF2EBE">
      <w:pPr>
        <w:spacing w:line="440" w:lineRule="exact"/>
        <w:rPr>
          <w:rFonts w:ascii="Times New Roman" w:hAnsi="Times New Roman" w:cs="Times New Roman"/>
          <w:sz w:val="20"/>
          <w:szCs w:val="20"/>
        </w:rPr>
      </w:pPr>
    </w:p>
    <w:p w14:paraId="3D9A0912">
      <w:pPr>
        <w:spacing w:line="440" w:lineRule="exact"/>
        <w:rPr>
          <w:rFonts w:ascii="Times New Roman" w:hAnsi="Times New Roman" w:cs="Times New Roman"/>
          <w:sz w:val="24"/>
        </w:rPr>
      </w:pPr>
      <w:r>
        <w:rPr>
          <w:rFonts w:ascii="Times New Roman" w:hAnsi="Times New Roman" w:cs="Times New Roman"/>
          <w:sz w:val="24"/>
        </w:rPr>
        <w:t>供应商名称：</w:t>
      </w:r>
    </w:p>
    <w:p w14:paraId="78FF2BAA">
      <w:pPr>
        <w:spacing w:line="440" w:lineRule="exact"/>
        <w:rPr>
          <w:rFonts w:ascii="Times New Roman" w:hAnsi="Times New Roman" w:cs="Times New Roman"/>
          <w:sz w:val="24"/>
        </w:rPr>
      </w:pPr>
      <w:r>
        <w:rPr>
          <w:rFonts w:ascii="Times New Roman" w:hAnsi="Times New Roman" w:cs="Times New Roman"/>
          <w:sz w:val="24"/>
        </w:rPr>
        <w:t>单位性质：</w:t>
      </w:r>
    </w:p>
    <w:p w14:paraId="3C6D0645">
      <w:pPr>
        <w:spacing w:line="440" w:lineRule="exact"/>
        <w:rPr>
          <w:rFonts w:ascii="Times New Roman" w:hAnsi="Times New Roman" w:cs="Times New Roman"/>
          <w:sz w:val="24"/>
        </w:rPr>
      </w:pPr>
      <w:r>
        <w:rPr>
          <w:rFonts w:ascii="Times New Roman" w:hAnsi="Times New Roman" w:cs="Times New Roman"/>
          <w:sz w:val="24"/>
        </w:rPr>
        <w:t>地址：</w:t>
      </w:r>
    </w:p>
    <w:p w14:paraId="743D4A48">
      <w:pPr>
        <w:spacing w:line="440" w:lineRule="exact"/>
        <w:rPr>
          <w:rFonts w:ascii="Times New Roman" w:hAnsi="Times New Roman" w:cs="Times New Roman"/>
          <w:sz w:val="24"/>
        </w:rPr>
      </w:pPr>
      <w:r>
        <w:rPr>
          <w:rFonts w:ascii="Times New Roman" w:hAnsi="Times New Roman" w:cs="Times New Roman"/>
          <w:sz w:val="24"/>
        </w:rPr>
        <w:t>成立时间：年月日</w:t>
      </w:r>
    </w:p>
    <w:p w14:paraId="2418DEE7">
      <w:pPr>
        <w:spacing w:line="440" w:lineRule="exact"/>
        <w:rPr>
          <w:rFonts w:ascii="Times New Roman" w:hAnsi="Times New Roman" w:cs="Times New Roman"/>
          <w:sz w:val="24"/>
        </w:rPr>
      </w:pPr>
      <w:r>
        <w:rPr>
          <w:rFonts w:ascii="Times New Roman" w:hAnsi="Times New Roman" w:cs="Times New Roman"/>
          <w:sz w:val="24"/>
        </w:rPr>
        <w:t>经营期限：</w:t>
      </w:r>
    </w:p>
    <w:p w14:paraId="1927746C">
      <w:pPr>
        <w:spacing w:line="440" w:lineRule="exact"/>
        <w:rPr>
          <w:rFonts w:ascii="Times New Roman" w:hAnsi="Times New Roman" w:cs="Times New Roman"/>
          <w:sz w:val="24"/>
        </w:rPr>
      </w:pPr>
      <w:r>
        <w:rPr>
          <w:rFonts w:ascii="Times New Roman" w:hAnsi="Times New Roman" w:cs="Times New Roman"/>
          <w:sz w:val="24"/>
        </w:rPr>
        <w:t>姓名：性别：年龄：职务：</w:t>
      </w:r>
    </w:p>
    <w:p w14:paraId="0DE730D0">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w:t>
      </w:r>
    </w:p>
    <w:p w14:paraId="2673DFAB">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45420432">
      <w:pPr>
        <w:spacing w:line="440" w:lineRule="exact"/>
        <w:ind w:firstLine="480" w:firstLineChars="200"/>
        <w:rPr>
          <w:rFonts w:ascii="Times New Roman" w:hAnsi="Times New Roman" w:cs="Times New Roman"/>
          <w:sz w:val="24"/>
        </w:rPr>
      </w:pPr>
    </w:p>
    <w:p w14:paraId="3FC5D709">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731CDE95">
      <w:pPr>
        <w:spacing w:line="440" w:lineRule="exact"/>
        <w:rPr>
          <w:rFonts w:ascii="Times New Roman" w:hAnsi="Times New Roman" w:cs="Times New Roman"/>
          <w:sz w:val="24"/>
        </w:rPr>
      </w:pPr>
    </w:p>
    <w:p w14:paraId="6383E158">
      <w:pPr>
        <w:spacing w:line="440" w:lineRule="exact"/>
        <w:rPr>
          <w:rFonts w:ascii="Times New Roman" w:hAnsi="Times New Roman" w:cs="Times New Roman"/>
          <w:sz w:val="24"/>
        </w:rPr>
      </w:pPr>
    </w:p>
    <w:p w14:paraId="33A6F474">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2611213D">
      <w:pPr>
        <w:spacing w:line="440" w:lineRule="exact"/>
        <w:rPr>
          <w:rFonts w:ascii="Times New Roman" w:hAnsi="Times New Roman" w:cs="Times New Roman"/>
          <w:sz w:val="24"/>
        </w:rPr>
      </w:pPr>
      <w:r>
        <w:rPr>
          <w:rFonts w:ascii="Times New Roman" w:hAnsi="Times New Roman" w:cs="Times New Roman"/>
          <w:sz w:val="24"/>
        </w:rPr>
        <w:t>年月日</w:t>
      </w:r>
    </w:p>
    <w:p w14:paraId="558A1584">
      <w:pPr>
        <w:topLinePunct/>
        <w:spacing w:line="440" w:lineRule="exact"/>
        <w:rPr>
          <w:rFonts w:ascii="Times New Roman" w:hAnsi="Times New Roman" w:eastAsia="黑体" w:cs="Times New Roman"/>
          <w:sz w:val="24"/>
        </w:rPr>
      </w:pPr>
    </w:p>
    <w:p w14:paraId="07A91E0A">
      <w:pPr>
        <w:topLinePunct/>
        <w:spacing w:line="440" w:lineRule="exact"/>
        <w:rPr>
          <w:rFonts w:ascii="Times New Roman" w:hAnsi="Times New Roman" w:eastAsia="黑体" w:cs="Times New Roman"/>
          <w:sz w:val="24"/>
        </w:rPr>
      </w:pPr>
    </w:p>
    <w:p w14:paraId="4D80F86B">
      <w:pPr>
        <w:topLinePunct/>
        <w:spacing w:line="440" w:lineRule="exact"/>
        <w:rPr>
          <w:rFonts w:ascii="Times New Roman" w:hAnsi="Times New Roman" w:eastAsia="黑体" w:cs="Times New Roman"/>
          <w:sz w:val="24"/>
        </w:rPr>
      </w:pPr>
    </w:p>
    <w:p w14:paraId="0427621F">
      <w:pPr>
        <w:topLinePunct/>
        <w:spacing w:line="440" w:lineRule="exact"/>
        <w:rPr>
          <w:rFonts w:ascii="Times New Roman" w:hAnsi="Times New Roman" w:eastAsia="黑体" w:cs="Times New Roman"/>
          <w:sz w:val="24"/>
        </w:rPr>
      </w:pPr>
    </w:p>
    <w:p w14:paraId="7EE1B603">
      <w:pPr>
        <w:topLinePunct/>
        <w:spacing w:line="440" w:lineRule="exact"/>
        <w:rPr>
          <w:rFonts w:ascii="Times New Roman" w:hAnsi="Times New Roman" w:eastAsia="黑体" w:cs="Times New Roman"/>
          <w:sz w:val="24"/>
        </w:rPr>
      </w:pPr>
    </w:p>
    <w:p w14:paraId="3099FDC0">
      <w:pPr>
        <w:topLinePunct/>
        <w:spacing w:line="440" w:lineRule="exact"/>
        <w:ind w:left="315" w:hanging="315" w:hangingChars="150"/>
        <w:rPr>
          <w:rFonts w:ascii="Times New Roman" w:hAnsi="Times New Roman" w:eastAsia="黑体" w:cs="Times New Roman"/>
          <w:szCs w:val="21"/>
        </w:rPr>
      </w:pPr>
    </w:p>
    <w:p w14:paraId="78853C11">
      <w:pPr>
        <w:topLinePunct/>
        <w:spacing w:line="440" w:lineRule="exact"/>
        <w:ind w:left="315" w:hanging="315" w:hangingChars="150"/>
        <w:rPr>
          <w:rFonts w:ascii="Times New Roman" w:hAnsi="Times New Roman" w:eastAsia="黑体" w:cs="Times New Roman"/>
          <w:bCs/>
          <w:szCs w:val="21"/>
        </w:rPr>
      </w:pPr>
    </w:p>
    <w:p w14:paraId="0321B25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40" w:name="_Toc12035_WPSOffice_Level2"/>
      <w:bookmarkStart w:id="141"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40"/>
      <w:bookmarkEnd w:id="141"/>
    </w:p>
    <w:p w14:paraId="3AF0D8DB">
      <w:pPr>
        <w:spacing w:line="440" w:lineRule="exact"/>
        <w:rPr>
          <w:rFonts w:ascii="Times New Roman" w:hAnsi="Times New Roman" w:eastAsia="黑体" w:cs="Times New Roman"/>
          <w:sz w:val="24"/>
        </w:rPr>
      </w:pPr>
    </w:p>
    <w:p w14:paraId="0517034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1763E200">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A31FBEF">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51ED63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EB82FDA">
      <w:pPr>
        <w:spacing w:line="440" w:lineRule="exact"/>
        <w:ind w:firstLine="480" w:firstLineChars="200"/>
        <w:rPr>
          <w:rFonts w:ascii="Times New Roman" w:hAnsi="Times New Roman" w:cs="Times New Roman"/>
          <w:sz w:val="24"/>
        </w:rPr>
      </w:pPr>
    </w:p>
    <w:p w14:paraId="2C94484A">
      <w:pPr>
        <w:spacing w:line="440" w:lineRule="exact"/>
        <w:rPr>
          <w:rFonts w:ascii="Times New Roman" w:hAnsi="Times New Roman" w:cs="Times New Roman"/>
          <w:sz w:val="24"/>
        </w:rPr>
      </w:pPr>
    </w:p>
    <w:p w14:paraId="6A83939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1A9A4B23">
      <w:pPr>
        <w:spacing w:line="440" w:lineRule="exact"/>
        <w:rPr>
          <w:rFonts w:ascii="Times New Roman" w:hAnsi="Times New Roman" w:cs="Times New Roman"/>
          <w:sz w:val="24"/>
        </w:rPr>
      </w:pPr>
    </w:p>
    <w:p w14:paraId="597E8099">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2D0781E">
      <w:pPr>
        <w:spacing w:line="440" w:lineRule="exact"/>
        <w:rPr>
          <w:rFonts w:ascii="Times New Roman" w:hAnsi="Times New Roman" w:cs="Times New Roman"/>
          <w:sz w:val="24"/>
        </w:rPr>
      </w:pPr>
    </w:p>
    <w:p w14:paraId="4C12A623">
      <w:pPr>
        <w:spacing w:line="440" w:lineRule="exact"/>
        <w:rPr>
          <w:rFonts w:ascii="Times New Roman" w:hAnsi="Times New Roman" w:cs="Times New Roman"/>
          <w:sz w:val="24"/>
        </w:rPr>
      </w:pPr>
      <w:r>
        <w:rPr>
          <w:rFonts w:ascii="Times New Roman" w:hAnsi="Times New Roman" w:cs="Times New Roman"/>
          <w:sz w:val="24"/>
        </w:rPr>
        <w:t>身份证号码：</w:t>
      </w:r>
    </w:p>
    <w:p w14:paraId="7459706A">
      <w:pPr>
        <w:spacing w:line="440" w:lineRule="exact"/>
        <w:rPr>
          <w:rFonts w:ascii="Times New Roman" w:hAnsi="Times New Roman" w:cs="Times New Roman"/>
          <w:sz w:val="24"/>
        </w:rPr>
      </w:pPr>
    </w:p>
    <w:p w14:paraId="3D4E66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6C007882">
      <w:pPr>
        <w:spacing w:line="440" w:lineRule="exact"/>
        <w:rPr>
          <w:rFonts w:ascii="Times New Roman" w:hAnsi="Times New Roman" w:cs="Times New Roman"/>
          <w:sz w:val="24"/>
        </w:rPr>
      </w:pPr>
    </w:p>
    <w:p w14:paraId="732E3207">
      <w:pPr>
        <w:spacing w:line="440" w:lineRule="exact"/>
        <w:rPr>
          <w:rFonts w:ascii="Times New Roman" w:hAnsi="Times New Roman" w:cs="Times New Roman"/>
          <w:sz w:val="24"/>
        </w:rPr>
      </w:pPr>
      <w:r>
        <w:rPr>
          <w:rFonts w:ascii="Times New Roman" w:hAnsi="Times New Roman" w:cs="Times New Roman"/>
          <w:sz w:val="24"/>
        </w:rPr>
        <w:t>身份证号码：</w:t>
      </w:r>
    </w:p>
    <w:p w14:paraId="24EBBD0E">
      <w:pPr>
        <w:spacing w:line="440" w:lineRule="exact"/>
        <w:rPr>
          <w:rFonts w:ascii="Times New Roman" w:hAnsi="Times New Roman" w:cs="Times New Roman"/>
          <w:sz w:val="24"/>
        </w:rPr>
      </w:pPr>
    </w:p>
    <w:p w14:paraId="1C556769">
      <w:pPr>
        <w:spacing w:line="440" w:lineRule="exact"/>
        <w:rPr>
          <w:rFonts w:ascii="Times New Roman" w:hAnsi="Times New Roman" w:cs="Times New Roman"/>
          <w:sz w:val="24"/>
        </w:rPr>
      </w:pPr>
    </w:p>
    <w:p w14:paraId="75DA70BC">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3DF7E0BA">
      <w:pPr>
        <w:spacing w:line="440" w:lineRule="exact"/>
        <w:rPr>
          <w:rFonts w:ascii="Times New Roman" w:hAnsi="Times New Roman" w:eastAsia="黑体" w:cs="Times New Roman"/>
          <w:sz w:val="24"/>
        </w:rPr>
      </w:pPr>
    </w:p>
    <w:p w14:paraId="1C864E19">
      <w:pPr>
        <w:pStyle w:val="5"/>
        <w:rPr>
          <w:rFonts w:ascii="Times New Roman" w:hAnsi="Times New Roman" w:eastAsia="黑体" w:cs="Times New Roman"/>
          <w:sz w:val="24"/>
        </w:rPr>
      </w:pPr>
    </w:p>
    <w:p w14:paraId="554DF176">
      <w:pPr>
        <w:pStyle w:val="5"/>
        <w:rPr>
          <w:rFonts w:ascii="Times New Roman" w:hAnsi="Times New Roman" w:eastAsia="黑体" w:cs="Times New Roman"/>
          <w:sz w:val="24"/>
        </w:rPr>
      </w:pPr>
    </w:p>
    <w:p w14:paraId="787687C9">
      <w:pPr>
        <w:pStyle w:val="5"/>
        <w:rPr>
          <w:rFonts w:ascii="Times New Roman" w:hAnsi="Times New Roman" w:eastAsia="黑体" w:cs="Times New Roman"/>
          <w:sz w:val="24"/>
        </w:rPr>
      </w:pPr>
    </w:p>
    <w:p w14:paraId="2007F9E3">
      <w:pPr>
        <w:pStyle w:val="5"/>
        <w:rPr>
          <w:rFonts w:ascii="Times New Roman" w:hAnsi="Times New Roman" w:eastAsia="黑体" w:cs="Times New Roman"/>
          <w:sz w:val="24"/>
        </w:rPr>
      </w:pPr>
    </w:p>
    <w:p w14:paraId="4B8B6858">
      <w:pPr>
        <w:pStyle w:val="5"/>
        <w:rPr>
          <w:rFonts w:ascii="Times New Roman" w:hAnsi="Times New Roman" w:eastAsia="黑体" w:cs="Times New Roman"/>
          <w:sz w:val="24"/>
        </w:rPr>
      </w:pPr>
    </w:p>
    <w:p w14:paraId="55372EF9">
      <w:pPr>
        <w:pStyle w:val="5"/>
        <w:rPr>
          <w:rFonts w:ascii="Times New Roman" w:hAnsi="Times New Roman" w:eastAsia="黑体" w:cs="Times New Roman"/>
          <w:sz w:val="24"/>
        </w:rPr>
      </w:pPr>
    </w:p>
    <w:p w14:paraId="6ABA958A">
      <w:pPr>
        <w:pStyle w:val="5"/>
        <w:rPr>
          <w:rFonts w:ascii="Times New Roman" w:hAnsi="Times New Roman" w:eastAsia="黑体" w:cs="Times New Roman"/>
          <w:sz w:val="24"/>
        </w:rPr>
      </w:pPr>
    </w:p>
    <w:p w14:paraId="63E9F595">
      <w:pPr>
        <w:pStyle w:val="5"/>
        <w:rPr>
          <w:rFonts w:ascii="Times New Roman" w:hAnsi="Times New Roman" w:eastAsia="黑体" w:cs="Times New Roman"/>
          <w:sz w:val="24"/>
        </w:rPr>
      </w:pPr>
    </w:p>
    <w:p w14:paraId="15F9D93A">
      <w:pPr>
        <w:pStyle w:val="5"/>
        <w:rPr>
          <w:rFonts w:ascii="Times New Roman" w:hAnsi="Times New Roman" w:eastAsia="黑体" w:cs="Times New Roman"/>
          <w:sz w:val="24"/>
        </w:rPr>
      </w:pPr>
    </w:p>
    <w:p w14:paraId="48EA175A">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1DE40043">
      <w:pPr>
        <w:spacing w:line="360" w:lineRule="auto"/>
        <w:rPr>
          <w:rFonts w:ascii="宋体" w:hAnsi="宋体" w:eastAsia="宋体" w:cs="宋体"/>
          <w:szCs w:val="21"/>
        </w:rPr>
      </w:pPr>
    </w:p>
    <w:p w14:paraId="11DCFA6C">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10C8AD52">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39859F77">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38DFEC42">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3BC4B663">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662CBE4A">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339C68D0">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31585C19">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6FE2F40D">
      <w:pPr>
        <w:spacing w:line="360" w:lineRule="auto"/>
        <w:ind w:firstLine="420" w:firstLineChars="200"/>
        <w:jc w:val="right"/>
        <w:rPr>
          <w:rFonts w:ascii="宋体" w:hAnsi="宋体" w:eastAsia="宋体" w:cs="宋体"/>
          <w:szCs w:val="21"/>
        </w:rPr>
      </w:pPr>
    </w:p>
    <w:p w14:paraId="550D42BB">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 xml:space="preserve">报价人：  </w:t>
      </w:r>
      <w:r>
        <w:rPr>
          <w:rFonts w:hint="eastAsia" w:ascii="宋体" w:hAnsi="宋体" w:eastAsia="宋体" w:cs="宋体"/>
          <w:szCs w:val="21"/>
          <w:lang w:eastAsia="zh-CN"/>
        </w:rPr>
        <w:t>（</w:t>
      </w:r>
      <w:r>
        <w:rPr>
          <w:rFonts w:hint="eastAsia" w:ascii="宋体" w:hAnsi="宋体" w:eastAsia="宋体" w:cs="宋体"/>
          <w:szCs w:val="21"/>
        </w:rPr>
        <w:t>盖单位章</w:t>
      </w:r>
      <w:r>
        <w:rPr>
          <w:rFonts w:hint="eastAsia" w:ascii="宋体" w:hAnsi="宋体" w:eastAsia="宋体" w:cs="宋体"/>
          <w:szCs w:val="21"/>
          <w:lang w:eastAsia="zh-CN"/>
        </w:rPr>
        <w:t>）</w:t>
      </w:r>
    </w:p>
    <w:p w14:paraId="6AF6F737">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报价人法定代表人或其委托代理人：</w:t>
      </w:r>
      <w:r>
        <w:rPr>
          <w:rFonts w:hint="eastAsia" w:ascii="宋体" w:hAnsi="宋体" w:eastAsia="宋体" w:cs="宋体"/>
          <w:szCs w:val="21"/>
          <w:lang w:eastAsia="zh-CN"/>
        </w:rPr>
        <w:t>（</w:t>
      </w:r>
      <w:r>
        <w:rPr>
          <w:rFonts w:hint="eastAsia" w:ascii="宋体" w:hAnsi="宋体" w:eastAsia="宋体" w:cs="宋体"/>
          <w:szCs w:val="21"/>
        </w:rPr>
        <w:t>签字</w:t>
      </w:r>
      <w:r>
        <w:rPr>
          <w:rFonts w:hint="eastAsia" w:ascii="宋体" w:hAnsi="宋体" w:eastAsia="宋体" w:cs="宋体"/>
          <w:szCs w:val="21"/>
          <w:lang w:eastAsia="zh-CN"/>
        </w:rPr>
        <w:t>）</w:t>
      </w:r>
    </w:p>
    <w:p w14:paraId="7843E68D">
      <w:pPr>
        <w:spacing w:line="360" w:lineRule="auto"/>
        <w:ind w:firstLine="420" w:firstLineChars="200"/>
        <w:rPr>
          <w:rFonts w:ascii="宋体" w:hAnsi="宋体" w:eastAsia="宋体" w:cs="宋体"/>
          <w:szCs w:val="21"/>
        </w:rPr>
      </w:pPr>
    </w:p>
    <w:p w14:paraId="38A56326">
      <w:pPr>
        <w:spacing w:line="360" w:lineRule="auto"/>
        <w:jc w:val="right"/>
        <w:rPr>
          <w:rFonts w:ascii="宋体" w:hAnsi="宋体" w:eastAsia="宋体" w:cs="宋体"/>
          <w:szCs w:val="21"/>
        </w:rPr>
      </w:pPr>
      <w:r>
        <w:rPr>
          <w:rFonts w:hint="eastAsia" w:ascii="宋体" w:hAnsi="宋体" w:eastAsia="宋体" w:cs="宋体"/>
          <w:szCs w:val="21"/>
        </w:rPr>
        <w:t>年月日</w:t>
      </w:r>
    </w:p>
    <w:p w14:paraId="4E41B7C7">
      <w:pPr>
        <w:spacing w:line="440" w:lineRule="exact"/>
        <w:jc w:val="center"/>
        <w:rPr>
          <w:rFonts w:ascii="宋体" w:hAnsi="宋体" w:eastAsia="宋体" w:cs="宋体"/>
          <w:b/>
          <w:bCs/>
          <w:sz w:val="32"/>
          <w:szCs w:val="32"/>
        </w:rPr>
      </w:pPr>
    </w:p>
    <w:p w14:paraId="216E77A1">
      <w:pPr>
        <w:pStyle w:val="5"/>
        <w:rPr>
          <w:rFonts w:ascii="Times New Roman" w:hAnsi="Times New Roman" w:eastAsia="黑体" w:cs="Times New Roman"/>
          <w:sz w:val="24"/>
        </w:rPr>
      </w:pPr>
    </w:p>
    <w:p w14:paraId="23F2AE00">
      <w:pPr>
        <w:spacing w:line="360" w:lineRule="exact"/>
        <w:ind w:left="360" w:hanging="360" w:hangingChars="200"/>
        <w:rPr>
          <w:rFonts w:ascii="Times New Roman" w:hAnsi="Times New Roman" w:eastAsia="黑体" w:cs="Times New Roman"/>
          <w:sz w:val="18"/>
          <w:szCs w:val="18"/>
        </w:rPr>
      </w:pPr>
    </w:p>
    <w:p w14:paraId="282D717A">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713888C9">
      <w:pPr>
        <w:spacing w:line="440" w:lineRule="exact"/>
        <w:jc w:val="center"/>
        <w:rPr>
          <w:rFonts w:ascii="Times New Roman" w:hAnsi="Times New Roman" w:eastAsia="黑体" w:cs="Times New Roman"/>
          <w:sz w:val="28"/>
          <w:szCs w:val="28"/>
        </w:rPr>
      </w:pPr>
      <w:bookmarkStart w:id="142" w:name="_Toc15186_WPSOffice_Level1"/>
      <w:bookmarkStart w:id="143" w:name="_Toc24530_WPSOffice_Level1"/>
      <w:bookmarkStart w:id="144" w:name="_Toc32085_WPSOffice_Level1"/>
      <w:bookmarkStart w:id="145" w:name="_Toc24567_WPSOffice_Level1"/>
      <w:bookmarkStart w:id="146"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2"/>
      <w:bookmarkEnd w:id="143"/>
      <w:bookmarkEnd w:id="144"/>
      <w:bookmarkEnd w:id="145"/>
      <w:r>
        <w:rPr>
          <w:rFonts w:hint="eastAsia" w:ascii="Times New Roman" w:hAnsi="Times New Roman" w:eastAsia="黑体" w:cs="Times New Roman"/>
          <w:sz w:val="28"/>
          <w:szCs w:val="28"/>
        </w:rPr>
        <w:t>报价清单</w:t>
      </w:r>
      <w:bookmarkEnd w:id="146"/>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 xml:space="preserve">   标</w:t>
      </w:r>
      <w:r>
        <w:rPr>
          <w:rFonts w:hint="eastAsia" w:ascii="Times New Roman" w:hAnsi="Times New Roman" w:eastAsia="黑体" w:cs="Times New Roman"/>
          <w:sz w:val="28"/>
          <w:szCs w:val="28"/>
        </w:rPr>
        <w:t>）</w:t>
      </w:r>
    </w:p>
    <w:tbl>
      <w:tblPr>
        <w:tblStyle w:val="15"/>
        <w:tblW w:w="586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16"/>
        <w:gridCol w:w="1268"/>
        <w:gridCol w:w="5901"/>
        <w:gridCol w:w="719"/>
        <w:gridCol w:w="1223"/>
        <w:gridCol w:w="1309"/>
      </w:tblGrid>
      <w:tr w14:paraId="4FD448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5" w:hRule="atLeast"/>
          <w:jc w:val="center"/>
        </w:trPr>
        <w:tc>
          <w:tcPr>
            <w:tcW w:w="363" w:type="pct"/>
            <w:noWrap w:val="0"/>
            <w:vAlign w:val="center"/>
          </w:tcPr>
          <w:p w14:paraId="30BBF950">
            <w:pPr>
              <w:snapToGrid w:val="0"/>
              <w:spacing w:line="240" w:lineRule="auto"/>
              <w:jc w:val="center"/>
              <w:rPr>
                <w:rFonts w:ascii="宋体" w:hAnsi="宋体" w:cs="ˎ̥"/>
                <w:b/>
                <w:sz w:val="21"/>
                <w:szCs w:val="21"/>
              </w:rPr>
            </w:pPr>
            <w:r>
              <w:rPr>
                <w:rFonts w:hint="eastAsia" w:ascii="宋体" w:hAnsi="宋体" w:cs="ˎ̥"/>
                <w:b/>
                <w:sz w:val="21"/>
                <w:szCs w:val="21"/>
              </w:rPr>
              <w:t>序号</w:t>
            </w:r>
          </w:p>
        </w:tc>
        <w:tc>
          <w:tcPr>
            <w:tcW w:w="564" w:type="pct"/>
            <w:noWrap w:val="0"/>
            <w:vAlign w:val="center"/>
          </w:tcPr>
          <w:p w14:paraId="08EC1B2D">
            <w:pPr>
              <w:snapToGrid w:val="0"/>
              <w:spacing w:line="240" w:lineRule="auto"/>
              <w:jc w:val="center"/>
              <w:rPr>
                <w:rFonts w:ascii="宋体" w:hAnsi="宋体" w:cs="ˎ̥"/>
                <w:b/>
                <w:sz w:val="21"/>
                <w:szCs w:val="21"/>
              </w:rPr>
            </w:pPr>
            <w:r>
              <w:rPr>
                <w:rFonts w:hint="eastAsia" w:ascii="宋体" w:hAnsi="宋体" w:cs="ˎ̥"/>
                <w:b/>
                <w:sz w:val="21"/>
                <w:szCs w:val="21"/>
              </w:rPr>
              <w:t>货物名称</w:t>
            </w:r>
          </w:p>
        </w:tc>
        <w:tc>
          <w:tcPr>
            <w:tcW w:w="2625" w:type="pct"/>
            <w:noWrap w:val="0"/>
            <w:vAlign w:val="center"/>
          </w:tcPr>
          <w:p w14:paraId="72FFFCB6">
            <w:pPr>
              <w:snapToGrid w:val="0"/>
              <w:spacing w:line="240" w:lineRule="auto"/>
              <w:jc w:val="center"/>
              <w:rPr>
                <w:rFonts w:ascii="宋体" w:hAnsi="宋体" w:cs="ˎ̥"/>
                <w:b/>
                <w:sz w:val="21"/>
                <w:szCs w:val="21"/>
              </w:rPr>
            </w:pPr>
            <w:r>
              <w:rPr>
                <w:rFonts w:hint="eastAsia" w:ascii="宋体" w:hAnsi="宋体" w:cs="ˎ̥"/>
                <w:b/>
                <w:sz w:val="21"/>
                <w:szCs w:val="21"/>
              </w:rPr>
              <w:t xml:space="preserve">技术参数 </w:t>
            </w:r>
          </w:p>
        </w:tc>
        <w:tc>
          <w:tcPr>
            <w:tcW w:w="320" w:type="pct"/>
            <w:noWrap w:val="0"/>
            <w:vAlign w:val="center"/>
          </w:tcPr>
          <w:p w14:paraId="0E639813">
            <w:pPr>
              <w:snapToGrid w:val="0"/>
              <w:spacing w:line="240" w:lineRule="auto"/>
              <w:jc w:val="center"/>
              <w:rPr>
                <w:rFonts w:ascii="宋体" w:hAnsi="宋体" w:cs="ˎ̥"/>
                <w:b/>
                <w:sz w:val="21"/>
                <w:szCs w:val="21"/>
              </w:rPr>
            </w:pPr>
            <w:r>
              <w:rPr>
                <w:rFonts w:hint="eastAsia" w:ascii="宋体" w:hAnsi="宋体" w:cs="ˎ̥"/>
                <w:b/>
                <w:sz w:val="21"/>
                <w:szCs w:val="21"/>
              </w:rPr>
              <w:t>数量</w:t>
            </w:r>
          </w:p>
        </w:tc>
        <w:tc>
          <w:tcPr>
            <w:tcW w:w="544" w:type="pct"/>
            <w:noWrap w:val="0"/>
            <w:vAlign w:val="center"/>
          </w:tcPr>
          <w:p w14:paraId="11F83737">
            <w:pPr>
              <w:snapToGrid w:val="0"/>
              <w:spacing w:line="240" w:lineRule="auto"/>
              <w:jc w:val="center"/>
              <w:rPr>
                <w:rFonts w:hint="eastAsia" w:ascii="宋体" w:hAnsi="宋体" w:cs="ˎ̥" w:eastAsiaTheme="minorEastAsia"/>
                <w:b/>
                <w:sz w:val="21"/>
                <w:szCs w:val="21"/>
                <w:lang w:eastAsia="zh-CN"/>
              </w:rPr>
            </w:pPr>
            <w:r>
              <w:rPr>
                <w:rFonts w:hint="eastAsia" w:ascii="宋体" w:hAnsi="宋体" w:cs="ˎ̥"/>
                <w:b/>
                <w:sz w:val="21"/>
                <w:szCs w:val="21"/>
                <w:lang w:eastAsia="zh-CN"/>
              </w:rPr>
              <w:t>单价</w:t>
            </w:r>
          </w:p>
        </w:tc>
        <w:tc>
          <w:tcPr>
            <w:tcW w:w="582" w:type="pct"/>
            <w:noWrap w:val="0"/>
            <w:vAlign w:val="center"/>
          </w:tcPr>
          <w:p w14:paraId="549E017B">
            <w:pPr>
              <w:snapToGrid w:val="0"/>
              <w:spacing w:line="240" w:lineRule="auto"/>
              <w:jc w:val="center"/>
              <w:rPr>
                <w:rFonts w:hint="eastAsia" w:ascii="宋体" w:hAnsi="宋体" w:cs="ˎ̥" w:eastAsiaTheme="minorEastAsia"/>
                <w:b/>
                <w:sz w:val="21"/>
                <w:szCs w:val="21"/>
                <w:lang w:eastAsia="zh-CN"/>
              </w:rPr>
            </w:pPr>
            <w:r>
              <w:rPr>
                <w:rFonts w:hint="eastAsia" w:ascii="宋体" w:hAnsi="宋体" w:cs="ˎ̥"/>
                <w:b/>
                <w:sz w:val="21"/>
                <w:szCs w:val="21"/>
                <w:lang w:eastAsia="zh-CN"/>
              </w:rPr>
              <w:t>合计</w:t>
            </w:r>
          </w:p>
        </w:tc>
      </w:tr>
      <w:tr w14:paraId="254040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3B2570FB">
            <w:pPr>
              <w:widowControl/>
              <w:snapToGrid w:val="0"/>
              <w:spacing w:line="240" w:lineRule="auto"/>
              <w:jc w:val="center"/>
              <w:rPr>
                <w:rFonts w:ascii="宋体" w:hAnsi="宋体" w:cs="ˎ̥"/>
                <w:szCs w:val="21"/>
              </w:rPr>
            </w:pPr>
            <w:r>
              <w:rPr>
                <w:rFonts w:hint="eastAsia" w:ascii="宋体" w:hAnsi="宋体" w:cs="宋体"/>
                <w:bCs/>
                <w:szCs w:val="21"/>
              </w:rPr>
              <w:t>1</w:t>
            </w:r>
          </w:p>
        </w:tc>
        <w:tc>
          <w:tcPr>
            <w:tcW w:w="564" w:type="pct"/>
            <w:shd w:val="clear" w:color="auto" w:fill="FFFFFF"/>
            <w:noWrap w:val="0"/>
            <w:vAlign w:val="center"/>
          </w:tcPr>
          <w:p w14:paraId="09D29756">
            <w:pPr>
              <w:spacing w:line="240" w:lineRule="auto"/>
              <w:jc w:val="center"/>
              <w:rPr>
                <w:rFonts w:ascii="宋体" w:hAnsi="宋体" w:cs="宋体"/>
                <w:color w:val="000000"/>
                <w:szCs w:val="21"/>
              </w:rPr>
            </w:pPr>
            <w:r>
              <w:rPr>
                <w:rFonts w:hint="eastAsia" w:ascii="宋体" w:hAnsi="宋体" w:cs="宋体"/>
                <w:color w:val="000000"/>
                <w:szCs w:val="21"/>
              </w:rPr>
              <w:t>室内全彩LED显示屏</w:t>
            </w:r>
          </w:p>
        </w:tc>
        <w:tc>
          <w:tcPr>
            <w:tcW w:w="2625" w:type="pct"/>
            <w:shd w:val="clear" w:color="auto" w:fill="FFFFFF"/>
            <w:noWrap w:val="0"/>
            <w:vAlign w:val="center"/>
          </w:tcPr>
          <w:p w14:paraId="3B17D32F">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1、像素点间距：≤1.5mm</w:t>
            </w:r>
          </w:p>
          <w:p w14:paraId="0FB6E668">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2、单元板分辨率：≥21632Dots</w:t>
            </w:r>
          </w:p>
          <w:p w14:paraId="5B414172">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3、刷新率：≥4200Hz，支持通过配套控制软件调节刷新率设置选项</w:t>
            </w:r>
          </w:p>
          <w:p w14:paraId="5ADA14B2">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4、整屏平整度≤0.04mm</w:t>
            </w:r>
          </w:p>
          <w:p w14:paraId="6E91B9D7">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5、白平衡亮度：0-820cd/㎡可调；亮度调节：0-100%亮度可调，256级手动/自动调节，屏幕亮度具有随环境照度的变化任意调整功能；亮度均匀性≥99%</w:t>
            </w:r>
          </w:p>
          <w:p w14:paraId="7A9EEF44">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6、色温800K-20000K可调；白平衡状态下色温在6500K±5%；色温为6500K时，100%75%50%25%档电平白场调节色温误差≤100K</w:t>
            </w:r>
          </w:p>
          <w:p w14:paraId="1C7951E6">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7、水平视角≥175°；垂直视角≥175°</w:t>
            </w:r>
          </w:p>
          <w:p w14:paraId="67854E0F">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8、对比度≥10000：1</w:t>
            </w:r>
          </w:p>
          <w:p w14:paraId="58F4C39D">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9、灰度等级≥16bit，红绿蓝各256级，可达65536级；采用EPWM 灰阶控制技术提升低灰视觉效果，100%亮度时，16bit灰度；70%亮度，16bit灰度；50%亮度，16bit灰度；20%亮度，14bit灰度，显示画面无单列或单行像素失控现象；支持0-100%亮度时，8-16bits灰度自定义设置</w:t>
            </w:r>
          </w:p>
          <w:p w14:paraId="63282A77">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10、峰值功耗≤250W/m²；平均功耗≤100W/m²</w:t>
            </w:r>
          </w:p>
          <w:p w14:paraId="26CB779A">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11、输入电压：支持宽压输入 在96-264VAC，支持窄压输入在200-240VAC，在该范围内能正常工作</w:t>
            </w:r>
          </w:p>
          <w:p w14:paraId="7DC698BD">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12、防护性能：具有防静电、防电磁干扰、防腐蚀、防霉菌、防虫、防潮、抗震动、抗雷击等功能；具有电源过压、过流、断电保护、分布上电措施、防护等级达到IP60</w:t>
            </w:r>
          </w:p>
          <w:p w14:paraId="79BDE447">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13、为不影响屏体周边人员的健康，要求投标人所投LED显示屏在正常工作中，显示屏1m范围内，前后左右4个位置噪音不大于1.4dB；所投LED显示屏观看舒适度需符合：“人眼视觉舒适度(VICO)1级，基本无疲劳感。</w:t>
            </w:r>
          </w:p>
          <w:p w14:paraId="6D169171">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14、▲所投LED显示屏的灯管耐焊耐热：灯珠引脚无氧化,焊接正常,灯珠胶体正常,点亮正常；灯管抗静电(ESD)测试：HBM模式:ESD&gt;2000V,灯珠点亮无异常；灯管红墨水试验：纯红墨水常温浸泡24h,无渗透,灯管气密性良好。</w:t>
            </w:r>
          </w:p>
          <w:p w14:paraId="1678E512">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15、要求投标人所投LED显示屏支持DVI、VGA、SDI输入、支持HDMI视频输入、支持视频PAL/NTSC制式自适应、支持复合视频信号、支持USB输入、支持IP输入、支持CVBS/DP/HDBASE输入、支持光纤/网络等接口输入。</w:t>
            </w:r>
          </w:p>
          <w:p w14:paraId="66BA4636">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16、防电击等级依据GB4943.1标准，使用基本绝缘作为基本安全防护，同时使用保护连接和保护接地作为附加安全防护，达到防电击保护I类设备</w:t>
            </w:r>
          </w:p>
          <w:p w14:paraId="75100878">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17、产品采用高端芯片，可智能调节正常工作与睡眠状态下的节能效果（动态节能，智能息屏），开启智能节电功能比没有开启，节能55%以上。</w:t>
            </w:r>
          </w:p>
          <w:p w14:paraId="73A6AF2E">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18、长时间没有使用屏体，屏体自动切入除湿模式，通过预热灯珠，蒸发掉灯珠内部湿气，使屏体从10%到100%亮度逐步显示，达到保护LED灯</w:t>
            </w:r>
          </w:p>
          <w:p w14:paraId="1DDE7A5D">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19、具有SELV电路，在SELV电路中任何两个导体之间或任何一个这样的导体和地之间的电压的限值为：正常工作条件下，不超过42.4V交流峰值或60V直流值单一故障条件下，在200ms后不超过42.4V（30V有效值）交流峰值或60V直流值，并且在200ms内其极限值不超过71V（50V有效值）交流峰值或120V直流值</w:t>
            </w:r>
          </w:p>
          <w:p w14:paraId="298E26C0">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20、LED显示屏保护地端子应有标记。进行标记耐久性试验后，标记牢固、清晰可辨。LED显示屏在熔断器和开关电源处应有警告标示。进行标记耐久性试验后，标记应牢固、清晰可辨。</w:t>
            </w:r>
          </w:p>
          <w:p w14:paraId="2F0826C9">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21、支持手机、平板可视化控制LED大屏，切换播放内容，定制播放计划等；支持手机添加LOGO、时间、日期、文字标语、滚动字幕、图片、视频窗口；支持分屏操作。支持任意比例拼接素材和多图层叠加；支持无线遥控、手机遥控，一键切换视频；支持与智能播控软件一键IP连接。</w:t>
            </w:r>
          </w:p>
          <w:p w14:paraId="006E8A7F">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22、显示屏所使用的材料及元器件均符合《SJ/T11363-2016电子信息产品中有毒有害物质的限定要求》符合环保要求的相关声明，根据《GB/T27050.1-2006合格评定供方的符合性声明第1部分：通用要求》 和《GB/T27050.2-2006合格评定供方的符合性声明第2部分：支持性文件》</w:t>
            </w:r>
          </w:p>
          <w:p w14:paraId="6F2DA697">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23、支持鬼影消除、首行暗亮消除、低灰偏色补偿、低灰均匀性、低灰横条纹消除、慢速开启、十字架消除、去坏点、毛毛虫消除、余辉消除、亮度缓慢变亮功能</w:t>
            </w:r>
          </w:p>
          <w:p w14:paraId="4BE26430">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24、为保证产品使用安全，静电电压衰减期（±1000-±100V）≤2S；摩擦起电电压|V|≤100V</w:t>
            </w:r>
          </w:p>
          <w:p w14:paraId="40C53DB9">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25、为保证产品信息传输稳定性，辐射干扰和传导干扰，均需符合GB/T9254-2021 ClassB限值要求</w:t>
            </w:r>
          </w:p>
          <w:p w14:paraId="53B09E45">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注：以上1-25技术参数需提供由第三方权威检测机构出具带有“CNAS”、“CMA”、“ilac-MRA”标志的检测报告（提供相关证书复印件并加盖制造商公章），未提供相应证明材料的不计算得分。</w:t>
            </w:r>
          </w:p>
          <w:p w14:paraId="462B476D">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26、★LED显示屏须提供本产品的3C认证证书复印件或扫描件附在响应文件中，不提供按无效标处理。</w:t>
            </w:r>
          </w:p>
          <w:p w14:paraId="012A839C">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27、▲为了防止LED光源对人眼的伤害，LED电子显示</w:t>
            </w:r>
          </w:p>
          <w:p w14:paraId="4589B6F8">
            <w:pPr>
              <w:tabs>
                <w:tab w:val="left" w:pos="4137"/>
              </w:tabs>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每块屏幕尺寸：4米*2米，产品包含电子屏全套配件及辅材，包括运输、本体安装、现场规范移交对接培训和基本操作培训；含配套所有线材；包括一年内免费上门售后服务、技术指导费、差旅费等所有调试及售后服务费用的全部内容。</w:t>
            </w:r>
          </w:p>
        </w:tc>
        <w:tc>
          <w:tcPr>
            <w:tcW w:w="320" w:type="pct"/>
            <w:noWrap w:val="0"/>
            <w:vAlign w:val="center"/>
          </w:tcPr>
          <w:p w14:paraId="090D2B34">
            <w:pPr>
              <w:snapToGrid w:val="0"/>
              <w:spacing w:line="240" w:lineRule="auto"/>
              <w:jc w:val="center"/>
              <w:rPr>
                <w:rFonts w:ascii="宋体" w:hAnsi="宋体" w:cs="ˎ̥"/>
                <w:szCs w:val="21"/>
              </w:rPr>
            </w:pPr>
            <w:r>
              <w:rPr>
                <w:rFonts w:ascii="宋体" w:hAnsi="宋体" w:cs="ˎ̥"/>
                <w:szCs w:val="21"/>
              </w:rPr>
              <w:t>2</w:t>
            </w:r>
            <w:r>
              <w:rPr>
                <w:rFonts w:hint="eastAsia" w:ascii="宋体" w:hAnsi="宋体" w:cs="ˎ̥"/>
                <w:szCs w:val="21"/>
              </w:rPr>
              <w:t>块</w:t>
            </w:r>
          </w:p>
        </w:tc>
        <w:tc>
          <w:tcPr>
            <w:tcW w:w="544" w:type="pct"/>
            <w:noWrap w:val="0"/>
            <w:vAlign w:val="center"/>
          </w:tcPr>
          <w:p w14:paraId="002E6E5F">
            <w:pPr>
              <w:snapToGrid w:val="0"/>
              <w:spacing w:line="240" w:lineRule="auto"/>
              <w:jc w:val="center"/>
              <w:rPr>
                <w:rFonts w:ascii="宋体" w:hAnsi="宋体" w:cs="ˎ̥"/>
                <w:szCs w:val="21"/>
              </w:rPr>
            </w:pPr>
          </w:p>
        </w:tc>
        <w:tc>
          <w:tcPr>
            <w:tcW w:w="582" w:type="pct"/>
            <w:noWrap w:val="0"/>
            <w:vAlign w:val="center"/>
          </w:tcPr>
          <w:p w14:paraId="0C5F9434">
            <w:pPr>
              <w:snapToGrid w:val="0"/>
              <w:spacing w:line="240" w:lineRule="auto"/>
              <w:jc w:val="center"/>
              <w:rPr>
                <w:rFonts w:ascii="宋体" w:hAnsi="宋体" w:cs="ˎ̥"/>
                <w:szCs w:val="21"/>
              </w:rPr>
            </w:pPr>
          </w:p>
        </w:tc>
      </w:tr>
      <w:tr w14:paraId="3BD182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05E2CED1">
            <w:pPr>
              <w:widowControl/>
              <w:snapToGrid w:val="0"/>
              <w:spacing w:line="240" w:lineRule="auto"/>
              <w:jc w:val="center"/>
              <w:rPr>
                <w:rFonts w:ascii="宋体" w:hAnsi="宋体" w:cs="宋体"/>
                <w:bCs/>
                <w:szCs w:val="21"/>
              </w:rPr>
            </w:pPr>
            <w:r>
              <w:rPr>
                <w:rFonts w:hint="eastAsia" w:ascii="宋体" w:hAnsi="宋体" w:cs="宋体"/>
                <w:bCs/>
                <w:szCs w:val="21"/>
              </w:rPr>
              <w:t>2</w:t>
            </w:r>
          </w:p>
        </w:tc>
        <w:tc>
          <w:tcPr>
            <w:tcW w:w="564" w:type="pct"/>
            <w:shd w:val="clear" w:color="auto" w:fill="FFFFFF"/>
            <w:noWrap w:val="0"/>
            <w:vAlign w:val="center"/>
          </w:tcPr>
          <w:p w14:paraId="74D68F89">
            <w:pPr>
              <w:spacing w:line="240" w:lineRule="auto"/>
              <w:jc w:val="center"/>
              <w:rPr>
                <w:rFonts w:ascii="宋体" w:hAnsi="宋体" w:cs="宋体"/>
                <w:color w:val="000000"/>
                <w:szCs w:val="21"/>
              </w:rPr>
            </w:pPr>
            <w:r>
              <w:rPr>
                <w:rFonts w:hint="eastAsia" w:ascii="宋体" w:hAnsi="宋体" w:cs="宋体"/>
                <w:color w:val="000000"/>
                <w:szCs w:val="21"/>
              </w:rPr>
              <w:t>室内单红LED显示屏</w:t>
            </w:r>
          </w:p>
        </w:tc>
        <w:tc>
          <w:tcPr>
            <w:tcW w:w="2625" w:type="pct"/>
            <w:shd w:val="clear" w:color="auto" w:fill="FFFFFF"/>
            <w:noWrap w:val="0"/>
            <w:vAlign w:val="center"/>
          </w:tcPr>
          <w:p w14:paraId="2C90C26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1、点间距：4.75mm；</w:t>
            </w:r>
          </w:p>
          <w:p w14:paraId="6B3B791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2、发光点颜色：红色；</w:t>
            </w:r>
          </w:p>
          <w:p w14:paraId="7DD385A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3、密度：44321点/m2；</w:t>
            </w:r>
          </w:p>
          <w:p w14:paraId="7BD2B29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4、单元板尺寸：304㎜×152㎜；</w:t>
            </w:r>
          </w:p>
          <w:p w14:paraId="0EF3856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5、分辨率 ：64×32点；                                                                                                                                                                 6、平均功耗 ：300W/m2；</w:t>
            </w:r>
          </w:p>
          <w:p w14:paraId="1CB56C7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7、显示控制方式：异步；</w:t>
            </w:r>
          </w:p>
          <w:p w14:paraId="1052868A">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8、驱动器件：LED专用驱动器件；</w:t>
            </w:r>
          </w:p>
          <w:p w14:paraId="4B5EFFA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9、驱动方式: 1/16扫描；</w:t>
            </w:r>
          </w:p>
          <w:p w14:paraId="2C5EABB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10、含配套异步控制系统；屏体支架、包边：4.2平方横条屏壁挂安装、轻质龙骨及铝型材包边、钢架结构整体美观整齐、牢固稳定内容；配套所有线材；</w:t>
            </w:r>
          </w:p>
          <w:p w14:paraId="3EF13A9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12、屏体现场复核、安装调试、产品交付，安全防范标准、技术和工艺标准；现场规范移交对接培训和基本操作培训；包括对横条屏的一年内免费上门售后服务、技术指导费、差旅费等所有调试及售后服务费用；</w:t>
            </w:r>
          </w:p>
          <w:p w14:paraId="0717775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13、含所有配套管、线费用； </w:t>
            </w:r>
          </w:p>
          <w:p w14:paraId="44FBDDF8">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屏幕尺寸：12米*0.6米，产品包含电子屏全套配件及辅材，包括运输、本体安装、现场规范移交对接培训和基本操作培训；含配套所有线材；包括一年内免费上门售后服务、技术指导费、差旅费等所有调试及售后服务费用的全部内容。</w:t>
            </w:r>
          </w:p>
        </w:tc>
        <w:tc>
          <w:tcPr>
            <w:tcW w:w="320" w:type="pct"/>
            <w:noWrap w:val="0"/>
            <w:vAlign w:val="center"/>
          </w:tcPr>
          <w:p w14:paraId="704DBB91">
            <w:pPr>
              <w:snapToGrid w:val="0"/>
              <w:spacing w:line="240" w:lineRule="auto"/>
              <w:ind w:left="368" w:hanging="368"/>
              <w:jc w:val="center"/>
              <w:rPr>
                <w:rFonts w:ascii="宋体" w:hAnsi="宋体"/>
                <w:szCs w:val="21"/>
              </w:rPr>
            </w:pPr>
            <w:r>
              <w:rPr>
                <w:rFonts w:hint="eastAsia" w:ascii="宋体" w:hAnsi="宋体"/>
                <w:szCs w:val="21"/>
              </w:rPr>
              <w:t>1块</w:t>
            </w:r>
          </w:p>
        </w:tc>
        <w:tc>
          <w:tcPr>
            <w:tcW w:w="544" w:type="pct"/>
            <w:noWrap w:val="0"/>
            <w:vAlign w:val="center"/>
          </w:tcPr>
          <w:p w14:paraId="4AE520F0">
            <w:pPr>
              <w:snapToGrid w:val="0"/>
              <w:spacing w:line="240" w:lineRule="auto"/>
              <w:ind w:left="368" w:hanging="368"/>
              <w:jc w:val="center"/>
              <w:rPr>
                <w:rFonts w:hint="eastAsia" w:ascii="宋体" w:hAnsi="宋体"/>
                <w:szCs w:val="21"/>
              </w:rPr>
            </w:pPr>
          </w:p>
        </w:tc>
        <w:tc>
          <w:tcPr>
            <w:tcW w:w="582" w:type="pct"/>
            <w:noWrap w:val="0"/>
            <w:vAlign w:val="center"/>
          </w:tcPr>
          <w:p w14:paraId="64499172">
            <w:pPr>
              <w:snapToGrid w:val="0"/>
              <w:spacing w:line="240" w:lineRule="auto"/>
              <w:ind w:left="368" w:hanging="368"/>
              <w:jc w:val="center"/>
              <w:rPr>
                <w:rFonts w:hint="eastAsia" w:ascii="宋体" w:hAnsi="宋体"/>
                <w:szCs w:val="21"/>
              </w:rPr>
            </w:pPr>
          </w:p>
        </w:tc>
      </w:tr>
      <w:tr w14:paraId="518BC5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A9500AD">
            <w:pPr>
              <w:widowControl/>
              <w:snapToGrid w:val="0"/>
              <w:spacing w:line="240" w:lineRule="auto"/>
              <w:jc w:val="center"/>
              <w:rPr>
                <w:rFonts w:hint="eastAsia" w:ascii="宋体" w:hAnsi="宋体" w:cs="宋体"/>
                <w:bCs/>
                <w:szCs w:val="21"/>
              </w:rPr>
            </w:pPr>
            <w:r>
              <w:rPr>
                <w:rFonts w:hint="eastAsia" w:ascii="宋体" w:hAnsi="宋体" w:cs="宋体"/>
                <w:bCs/>
                <w:szCs w:val="21"/>
              </w:rPr>
              <w:t>3</w:t>
            </w:r>
          </w:p>
        </w:tc>
        <w:tc>
          <w:tcPr>
            <w:tcW w:w="564" w:type="pct"/>
            <w:shd w:val="clear" w:color="auto" w:fill="FFFFFF"/>
            <w:noWrap w:val="0"/>
            <w:vAlign w:val="center"/>
          </w:tcPr>
          <w:p w14:paraId="0343B673">
            <w:pPr>
              <w:spacing w:line="240" w:lineRule="auto"/>
              <w:jc w:val="center"/>
              <w:rPr>
                <w:rFonts w:hint="eastAsia"/>
              </w:rPr>
            </w:pPr>
            <w:r>
              <w:rPr>
                <w:rFonts w:hint="eastAsia"/>
              </w:rPr>
              <w:t>笔记本电脑</w:t>
            </w:r>
          </w:p>
        </w:tc>
        <w:tc>
          <w:tcPr>
            <w:tcW w:w="2625" w:type="pct"/>
            <w:shd w:val="clear" w:color="auto" w:fill="FFFFFF"/>
            <w:noWrap w:val="0"/>
            <w:vAlign w:val="top"/>
          </w:tcPr>
          <w:p w14:paraId="24861914">
            <w:pPr>
              <w:spacing w:line="240" w:lineRule="auto"/>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处理器：Ultra5-125H，内存：16，硬盘：1TB，显示器14英寸，系统Win11</w:t>
            </w:r>
          </w:p>
        </w:tc>
        <w:tc>
          <w:tcPr>
            <w:tcW w:w="320" w:type="pct"/>
            <w:noWrap w:val="0"/>
            <w:vAlign w:val="center"/>
          </w:tcPr>
          <w:p w14:paraId="36E76C62">
            <w:pPr>
              <w:snapToGrid w:val="0"/>
              <w:spacing w:line="240" w:lineRule="auto"/>
              <w:ind w:left="368" w:hanging="368"/>
              <w:jc w:val="center"/>
              <w:rPr>
                <w:rFonts w:hint="eastAsia" w:ascii="宋体" w:hAnsi="宋体"/>
                <w:szCs w:val="21"/>
              </w:rPr>
            </w:pPr>
            <w:r>
              <w:rPr>
                <w:rFonts w:hint="eastAsia" w:ascii="宋体" w:hAnsi="宋体"/>
                <w:szCs w:val="21"/>
              </w:rPr>
              <w:t>1台</w:t>
            </w:r>
          </w:p>
        </w:tc>
        <w:tc>
          <w:tcPr>
            <w:tcW w:w="544" w:type="pct"/>
            <w:noWrap w:val="0"/>
            <w:vAlign w:val="center"/>
          </w:tcPr>
          <w:p w14:paraId="5F37F582">
            <w:pPr>
              <w:snapToGrid w:val="0"/>
              <w:spacing w:line="240" w:lineRule="auto"/>
              <w:ind w:left="368" w:hanging="368"/>
              <w:jc w:val="center"/>
              <w:rPr>
                <w:rFonts w:hint="eastAsia" w:ascii="宋体" w:hAnsi="宋体"/>
                <w:szCs w:val="21"/>
              </w:rPr>
            </w:pPr>
          </w:p>
        </w:tc>
        <w:tc>
          <w:tcPr>
            <w:tcW w:w="582" w:type="pct"/>
            <w:noWrap w:val="0"/>
            <w:vAlign w:val="center"/>
          </w:tcPr>
          <w:p w14:paraId="4A7C5E38">
            <w:pPr>
              <w:snapToGrid w:val="0"/>
              <w:spacing w:line="240" w:lineRule="auto"/>
              <w:ind w:left="368" w:hanging="368"/>
              <w:jc w:val="center"/>
              <w:rPr>
                <w:rFonts w:hint="eastAsia" w:ascii="宋体" w:hAnsi="宋体"/>
                <w:szCs w:val="21"/>
              </w:rPr>
            </w:pPr>
          </w:p>
        </w:tc>
      </w:tr>
      <w:tr w14:paraId="7830CB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0BE8A59E">
            <w:pPr>
              <w:widowControl/>
              <w:snapToGrid w:val="0"/>
              <w:spacing w:line="240" w:lineRule="auto"/>
              <w:jc w:val="center"/>
              <w:rPr>
                <w:rFonts w:ascii="宋体" w:hAnsi="宋体" w:cs="宋体"/>
                <w:bCs/>
                <w:szCs w:val="21"/>
              </w:rPr>
            </w:pPr>
            <w:r>
              <w:rPr>
                <w:rFonts w:hint="eastAsia" w:ascii="宋体" w:hAnsi="宋体" w:cs="宋体"/>
                <w:bCs/>
                <w:szCs w:val="21"/>
              </w:rPr>
              <w:t>4</w:t>
            </w:r>
          </w:p>
        </w:tc>
        <w:tc>
          <w:tcPr>
            <w:tcW w:w="564" w:type="pct"/>
            <w:shd w:val="clear" w:color="auto" w:fill="FFFFFF"/>
            <w:noWrap w:val="0"/>
            <w:vAlign w:val="top"/>
          </w:tcPr>
          <w:p w14:paraId="09A11704">
            <w:pPr>
              <w:spacing w:line="240" w:lineRule="auto"/>
              <w:jc w:val="center"/>
              <w:rPr>
                <w:rFonts w:hint="eastAsia"/>
              </w:rPr>
            </w:pPr>
            <w:r>
              <w:rPr>
                <w:rFonts w:hint="eastAsia"/>
              </w:rPr>
              <w:t>会议音箱</w:t>
            </w:r>
          </w:p>
        </w:tc>
        <w:tc>
          <w:tcPr>
            <w:tcW w:w="2625" w:type="pct"/>
            <w:shd w:val="clear" w:color="auto" w:fill="FFFFFF"/>
            <w:noWrap w:val="0"/>
            <w:vAlign w:val="center"/>
          </w:tcPr>
          <w:p w14:paraId="2AD8A3D0">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xml:space="preserve">1、额定阻抗：8Ω； </w:t>
            </w:r>
          </w:p>
          <w:p w14:paraId="33CF9F4C">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2、额定功率：150W (AES)；</w:t>
            </w:r>
          </w:p>
          <w:p w14:paraId="428CE2D7">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3、额定频率范围：150Hz-18KHz；</w:t>
            </w:r>
          </w:p>
          <w:p w14:paraId="1FA891F8">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4、最大声压级：116dB（RMS）、122dB（PEAK）；</w:t>
            </w:r>
          </w:p>
          <w:p w14:paraId="48D2ADBA">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5、特性灵敏度：92dB/m/w ；</w:t>
            </w:r>
          </w:p>
          <w:p w14:paraId="51C1AC0B">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6、覆盖角度：H120°×V60°；</w:t>
            </w:r>
          </w:p>
        </w:tc>
        <w:tc>
          <w:tcPr>
            <w:tcW w:w="320" w:type="pct"/>
            <w:noWrap w:val="0"/>
            <w:vAlign w:val="center"/>
          </w:tcPr>
          <w:p w14:paraId="5A5253D8">
            <w:pPr>
              <w:spacing w:line="240" w:lineRule="auto"/>
              <w:jc w:val="center"/>
            </w:pPr>
            <w:r>
              <w:t>8</w:t>
            </w:r>
            <w:r>
              <w:rPr>
                <w:rFonts w:hint="eastAsia"/>
              </w:rPr>
              <w:t>只</w:t>
            </w:r>
          </w:p>
        </w:tc>
        <w:tc>
          <w:tcPr>
            <w:tcW w:w="544" w:type="pct"/>
            <w:noWrap w:val="0"/>
            <w:vAlign w:val="center"/>
          </w:tcPr>
          <w:p w14:paraId="6D7B27BB">
            <w:pPr>
              <w:spacing w:line="240" w:lineRule="auto"/>
              <w:jc w:val="center"/>
            </w:pPr>
          </w:p>
        </w:tc>
        <w:tc>
          <w:tcPr>
            <w:tcW w:w="582" w:type="pct"/>
            <w:noWrap w:val="0"/>
            <w:vAlign w:val="center"/>
          </w:tcPr>
          <w:p w14:paraId="54994C27">
            <w:pPr>
              <w:spacing w:line="240" w:lineRule="auto"/>
              <w:jc w:val="center"/>
            </w:pPr>
          </w:p>
        </w:tc>
      </w:tr>
      <w:tr w14:paraId="0A64E2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B2CE975">
            <w:pPr>
              <w:widowControl/>
              <w:snapToGrid w:val="0"/>
              <w:spacing w:line="240" w:lineRule="auto"/>
              <w:jc w:val="center"/>
              <w:rPr>
                <w:rFonts w:ascii="宋体" w:hAnsi="宋体" w:cs="宋体"/>
                <w:bCs/>
                <w:szCs w:val="21"/>
              </w:rPr>
            </w:pPr>
            <w:r>
              <w:rPr>
                <w:rFonts w:hint="eastAsia" w:ascii="宋体" w:hAnsi="宋体" w:cs="宋体"/>
                <w:bCs/>
                <w:szCs w:val="21"/>
              </w:rPr>
              <w:t>5</w:t>
            </w:r>
          </w:p>
        </w:tc>
        <w:tc>
          <w:tcPr>
            <w:tcW w:w="564" w:type="pct"/>
            <w:shd w:val="clear" w:color="auto" w:fill="FFFFFF"/>
            <w:noWrap w:val="0"/>
            <w:vAlign w:val="center"/>
          </w:tcPr>
          <w:p w14:paraId="2312846B">
            <w:pPr>
              <w:spacing w:line="240" w:lineRule="auto"/>
              <w:jc w:val="center"/>
              <w:rPr>
                <w:rFonts w:hint="eastAsia"/>
              </w:rPr>
            </w:pPr>
            <w:r>
              <w:rPr>
                <w:rFonts w:hint="eastAsia"/>
              </w:rPr>
              <w:t>功放</w:t>
            </w:r>
          </w:p>
        </w:tc>
        <w:tc>
          <w:tcPr>
            <w:tcW w:w="2625" w:type="pct"/>
            <w:shd w:val="clear" w:color="auto" w:fill="FFFFFF"/>
            <w:noWrap w:val="0"/>
            <w:vAlign w:val="center"/>
          </w:tcPr>
          <w:p w14:paraId="0F0F6EA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1、两个XLR孔形卡侬输入插座，两个XLR孔形卡侬信号并接插座，两个SPEAKON输出快装接口；</w:t>
            </w:r>
          </w:p>
          <w:p w14:paraId="061B238E">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★2、具有低通功能；提供实物功能接口图影印件或扫描件；</w:t>
            </w:r>
          </w:p>
          <w:p w14:paraId="54683B8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★3、具有桥接功能；提供实物功能接口图影印件或扫描件；</w:t>
            </w:r>
          </w:p>
          <w:p w14:paraId="2D0E008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4、输出功率：2X300W/8Ω，2X450W/4Ω，桥接：900W/8Ω；</w:t>
            </w:r>
          </w:p>
          <w:p w14:paraId="208C8F0E">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5、频率响应：20Hz—20KHz±1dB；</w:t>
            </w:r>
          </w:p>
          <w:p w14:paraId="2A84206C">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6、总谐波失真：THD≤0.1%（10%额定输出功率，1KHz）；</w:t>
            </w:r>
          </w:p>
          <w:p w14:paraId="61FA8E78">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7、输入灵敏度：0dBu(775mV)；</w:t>
            </w:r>
          </w:p>
          <w:p w14:paraId="1F38309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8、输入阻抗：平衡20KΩ，不平衡10KΩ；</w:t>
            </w:r>
          </w:p>
          <w:p w14:paraId="04E2A880">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9、信噪比（A计权）：≥100dB；</w:t>
            </w:r>
          </w:p>
          <w:p w14:paraId="702B050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10、阻尼系数：≥250；</w:t>
            </w:r>
          </w:p>
          <w:p w14:paraId="42F83871">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11、完整的LED工作状态指示灯（信号、峰值、保护、电源、桥接）；</w:t>
            </w:r>
          </w:p>
        </w:tc>
        <w:tc>
          <w:tcPr>
            <w:tcW w:w="320" w:type="pct"/>
            <w:noWrap w:val="0"/>
            <w:vAlign w:val="center"/>
          </w:tcPr>
          <w:p w14:paraId="321C5C10">
            <w:pPr>
              <w:spacing w:line="240" w:lineRule="auto"/>
              <w:jc w:val="center"/>
            </w:pPr>
            <w:r>
              <w:t>6</w:t>
            </w:r>
            <w:r>
              <w:rPr>
                <w:rFonts w:hint="eastAsia"/>
              </w:rPr>
              <w:t>台</w:t>
            </w:r>
          </w:p>
        </w:tc>
        <w:tc>
          <w:tcPr>
            <w:tcW w:w="544" w:type="pct"/>
            <w:noWrap w:val="0"/>
            <w:vAlign w:val="center"/>
          </w:tcPr>
          <w:p w14:paraId="0044A75F">
            <w:pPr>
              <w:spacing w:line="240" w:lineRule="auto"/>
              <w:jc w:val="center"/>
            </w:pPr>
          </w:p>
        </w:tc>
        <w:tc>
          <w:tcPr>
            <w:tcW w:w="582" w:type="pct"/>
            <w:noWrap w:val="0"/>
            <w:vAlign w:val="center"/>
          </w:tcPr>
          <w:p w14:paraId="6E181AB9">
            <w:pPr>
              <w:spacing w:line="240" w:lineRule="auto"/>
              <w:jc w:val="center"/>
            </w:pPr>
          </w:p>
        </w:tc>
      </w:tr>
      <w:tr w14:paraId="0B7CBB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1B339ACA">
            <w:pPr>
              <w:widowControl/>
              <w:snapToGrid w:val="0"/>
              <w:spacing w:line="240" w:lineRule="auto"/>
              <w:jc w:val="center"/>
              <w:rPr>
                <w:rFonts w:ascii="宋体" w:hAnsi="宋体" w:cs="宋体"/>
                <w:bCs/>
                <w:szCs w:val="21"/>
              </w:rPr>
            </w:pPr>
            <w:r>
              <w:rPr>
                <w:rFonts w:hint="eastAsia" w:ascii="宋体" w:hAnsi="宋体" w:cs="宋体"/>
                <w:bCs/>
                <w:szCs w:val="21"/>
              </w:rPr>
              <w:t>6</w:t>
            </w:r>
          </w:p>
        </w:tc>
        <w:tc>
          <w:tcPr>
            <w:tcW w:w="564" w:type="pct"/>
            <w:shd w:val="clear" w:color="auto" w:fill="FFFFFF"/>
            <w:noWrap w:val="0"/>
            <w:vAlign w:val="center"/>
          </w:tcPr>
          <w:p w14:paraId="7CA8E531">
            <w:pPr>
              <w:spacing w:line="240" w:lineRule="auto"/>
              <w:jc w:val="center"/>
              <w:rPr>
                <w:rFonts w:hint="eastAsia"/>
              </w:rPr>
            </w:pPr>
            <w:r>
              <w:rPr>
                <w:rFonts w:hint="eastAsia"/>
              </w:rPr>
              <w:t>调音台</w:t>
            </w:r>
          </w:p>
        </w:tc>
        <w:tc>
          <w:tcPr>
            <w:tcW w:w="2625" w:type="pct"/>
            <w:shd w:val="clear" w:color="auto" w:fill="FFFFFF"/>
            <w:noWrap w:val="0"/>
            <w:vAlign w:val="center"/>
          </w:tcPr>
          <w:p w14:paraId="351265A2">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★1、音频输入：8路话筒/线路输入（COMBO  XLR孔型卡侬接口，兼容6.35插座），1组立体声输入（6.35插座），1组立体声音轨输入（RCA插座），1路USB，蓝牙输入，1-8路输入具备插入功能（6.35插座），1-8路输入具备低切功能；提供实物功能接口图影印件或扫描件；</w:t>
            </w:r>
          </w:p>
          <w:p w14:paraId="0A27CC70">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★2、音频输出：2路主输出，2路编组输出，2路辅助输出，1路监听输出，1路耳机输出，1组录音输出；提供实物功能接口图影印件或扫描件；</w:t>
            </w:r>
          </w:p>
          <w:p w14:paraId="2F3AD156">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3、14个60㎜行程推子；</w:t>
            </w:r>
          </w:p>
          <w:p w14:paraId="27B224A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4、效果可以发送至AUX1、编组1、2与立体声；</w:t>
            </w:r>
          </w:p>
          <w:p w14:paraId="159BC36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5、多媒体信号可以发送至AUX1、编组1、2与立体声；</w:t>
            </w:r>
          </w:p>
          <w:p w14:paraId="6A64CB9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6、内置多媒体播放器（配遥控器），支持蓝牙接收，USB声卡功能；</w:t>
            </w:r>
          </w:p>
          <w:p w14:paraId="25CD6346">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7、支持声控（话筒优先）；内置DSP效果器，预设99种DSP效果；支持通道监听；</w:t>
            </w:r>
          </w:p>
          <w:p w14:paraId="62BB8D4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8、全中文操作界面，每路话放支持低切，辅助1支持推子前后切换；</w:t>
            </w:r>
          </w:p>
          <w:p w14:paraId="380609A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9、通道信号削峰指示灯，三色输出电平指示灯；</w:t>
            </w:r>
          </w:p>
          <w:p w14:paraId="67BA495A">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10、主输出7段图示均衡，单通道输入高、中、低三段均衡（中频带参量EQ），立体声输入高、低两段均衡，+48V幻象电源（分两组供电）；</w:t>
            </w:r>
          </w:p>
          <w:p w14:paraId="68865B8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11、频率响应：20Hz～20kHz（+1dB，-3dB）；</w:t>
            </w:r>
          </w:p>
          <w:p w14:paraId="180FB592">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12、总谐波失真：≤0.1%；</w:t>
            </w:r>
          </w:p>
          <w:p w14:paraId="0BADB8E1">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13、串音：&gt;60dB（@1kHz）；增益：≥70dB；最大输入电平：≥18dBu；最大输出电平：≥18dBu；</w:t>
            </w:r>
          </w:p>
        </w:tc>
        <w:tc>
          <w:tcPr>
            <w:tcW w:w="320" w:type="pct"/>
            <w:noWrap w:val="0"/>
            <w:vAlign w:val="center"/>
          </w:tcPr>
          <w:p w14:paraId="3AD7BF95">
            <w:pPr>
              <w:spacing w:line="240" w:lineRule="auto"/>
              <w:jc w:val="center"/>
            </w:pPr>
            <w:r>
              <w:t>2</w:t>
            </w:r>
            <w:r>
              <w:rPr>
                <w:rFonts w:hint="eastAsia"/>
              </w:rPr>
              <w:t>台</w:t>
            </w:r>
          </w:p>
        </w:tc>
        <w:tc>
          <w:tcPr>
            <w:tcW w:w="544" w:type="pct"/>
            <w:noWrap w:val="0"/>
            <w:vAlign w:val="center"/>
          </w:tcPr>
          <w:p w14:paraId="20030C9D">
            <w:pPr>
              <w:spacing w:line="240" w:lineRule="auto"/>
              <w:jc w:val="center"/>
            </w:pPr>
          </w:p>
        </w:tc>
        <w:tc>
          <w:tcPr>
            <w:tcW w:w="582" w:type="pct"/>
            <w:noWrap w:val="0"/>
            <w:vAlign w:val="center"/>
          </w:tcPr>
          <w:p w14:paraId="35AF5A9C">
            <w:pPr>
              <w:spacing w:line="240" w:lineRule="auto"/>
              <w:jc w:val="center"/>
            </w:pPr>
          </w:p>
        </w:tc>
      </w:tr>
      <w:tr w14:paraId="6DA854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60D6D35F">
            <w:pPr>
              <w:widowControl/>
              <w:snapToGrid w:val="0"/>
              <w:spacing w:line="240" w:lineRule="auto"/>
              <w:jc w:val="center"/>
              <w:rPr>
                <w:rFonts w:ascii="宋体" w:hAnsi="宋体" w:cs="宋体"/>
                <w:bCs/>
                <w:szCs w:val="21"/>
              </w:rPr>
            </w:pPr>
            <w:r>
              <w:rPr>
                <w:rFonts w:hint="eastAsia" w:ascii="宋体" w:hAnsi="宋体" w:cs="宋体"/>
                <w:bCs/>
                <w:szCs w:val="21"/>
              </w:rPr>
              <w:t>7</w:t>
            </w:r>
          </w:p>
        </w:tc>
        <w:tc>
          <w:tcPr>
            <w:tcW w:w="564" w:type="pct"/>
            <w:shd w:val="clear" w:color="auto" w:fill="FFFFFF"/>
            <w:noWrap w:val="0"/>
            <w:vAlign w:val="center"/>
          </w:tcPr>
          <w:p w14:paraId="35679863">
            <w:pPr>
              <w:spacing w:line="240" w:lineRule="auto"/>
              <w:jc w:val="center"/>
              <w:rPr>
                <w:rFonts w:hint="eastAsia"/>
              </w:rPr>
            </w:pPr>
            <w:r>
              <w:rPr>
                <w:rFonts w:hint="eastAsia"/>
              </w:rPr>
              <w:t>智慧运算中心</w:t>
            </w:r>
          </w:p>
        </w:tc>
        <w:tc>
          <w:tcPr>
            <w:tcW w:w="2625" w:type="pct"/>
            <w:shd w:val="clear" w:color="auto" w:fill="FFFFFF"/>
            <w:noWrap w:val="0"/>
            <w:vAlign w:val="top"/>
          </w:tcPr>
          <w:p w14:paraId="3B80E3E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1、接口：8路音频输入、8路音频输出、1路RS232、1路RS485、4路GIPO、1路ETHERNET、1路USB；</w:t>
            </w:r>
          </w:p>
          <w:p w14:paraId="00D7379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2、音频矩阵：8路模拟信号输入、8路模拟信号输出，支持手机、平板、电脑端上位机软件与物联网平台任意切换；</w:t>
            </w:r>
          </w:p>
          <w:p w14:paraId="24DB128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3、调试接口：支持连接局域网进行本地调试，支持连接外网，对接物联网平台，进行远程设备监测和控制；</w:t>
            </w:r>
          </w:p>
          <w:p w14:paraId="7C82C8A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4、中控功能：1路RS232、1路RS485、4路GIPO用于控制外部设备；</w:t>
            </w:r>
          </w:p>
          <w:p w14:paraId="4863450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5、音频处理：输入通道：ANS噪声抑制、AFC反馈抑制、AEC回声消除、信号发生器、扩展器、压缩器、自动增益、参量均衡，输出通道：延时器、高低通滤波器、限幅器、参量均衡；</w:t>
            </w:r>
          </w:p>
          <w:p w14:paraId="2B47B7F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6、物联网功能：支持物联网平台实时查看设备在线状态、实时电平、通道静音状态、矩阵混音状态、远程操控设备音频矩阵切换、支持一键静音、调整每路音频增益控制音量大小、实时控制设备中控功能；</w:t>
            </w:r>
          </w:p>
          <w:p w14:paraId="6E5185FD">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7、支持断电自动记忆保护功能；</w:t>
            </w:r>
          </w:p>
          <w:p w14:paraId="2FCCD0EC">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8、支持场景预设功能，最大16组场景预设；</w:t>
            </w:r>
          </w:p>
          <w:p w14:paraId="4D7106B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9、总线式AEC，尾长时间：512ms，收敛率：60dB/S,回声消除幅度：60dB；独立通道的AFC（反馈抑制），采用陷波式算法，传声增益提升幅度：10dB；噪声抑制（ANS），信噪比提升18dB；</w:t>
            </w:r>
          </w:p>
          <w:p w14:paraId="3B15F28D">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10、8段英式参量均衡，提供5种滤波器选择：Parametric, Lowshelf, Highshelf, Lowpass, Highpass；</w:t>
            </w:r>
          </w:p>
          <w:p w14:paraId="0FE4F1F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11、处理器：ADI SHARC 21489@450 MHz SIMD；</w:t>
            </w:r>
          </w:p>
          <w:p w14:paraId="009DCA1C">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12、DSP处理能力：400 MIPS，1.6 GFLOPS；</w:t>
            </w:r>
          </w:p>
          <w:p w14:paraId="6FFB201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13、采样率：48 kHz，± 100 ppm；</w:t>
            </w:r>
          </w:p>
          <w:p w14:paraId="7177DF5B">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14、THD+N：&lt;-94dB @17dBu；</w:t>
            </w:r>
          </w:p>
          <w:p w14:paraId="4E1E985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15、输入动态范围：110dB 输出动态范围：112dB；</w:t>
            </w:r>
          </w:p>
          <w:p w14:paraId="7493BA5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16、内置USB声卡，支持音乐播放、录制和软视频会议；如：ZOOM，腾讯会议，钉钉会议等；</w:t>
            </w:r>
          </w:p>
          <w:p w14:paraId="48AFA8A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17、提供终端用户订制操作界面，最大支持30台设备同一个界面管理；</w:t>
            </w:r>
          </w:p>
          <w:p w14:paraId="73F65A4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18、具有中央控制功能，可对系统中的电源、信号切换、环境控制、音频等整体控制，实现一键开启系统所需要的功能；</w:t>
            </w:r>
          </w:p>
        </w:tc>
        <w:tc>
          <w:tcPr>
            <w:tcW w:w="320" w:type="pct"/>
            <w:noWrap w:val="0"/>
            <w:vAlign w:val="center"/>
          </w:tcPr>
          <w:p w14:paraId="27BF55B5">
            <w:pPr>
              <w:spacing w:line="240" w:lineRule="auto"/>
              <w:jc w:val="center"/>
            </w:pPr>
            <w:r>
              <w:t>3</w:t>
            </w:r>
            <w:r>
              <w:rPr>
                <w:rFonts w:hint="eastAsia"/>
              </w:rPr>
              <w:t>台</w:t>
            </w:r>
          </w:p>
        </w:tc>
        <w:tc>
          <w:tcPr>
            <w:tcW w:w="544" w:type="pct"/>
            <w:noWrap w:val="0"/>
            <w:vAlign w:val="center"/>
          </w:tcPr>
          <w:p w14:paraId="72A5A20A">
            <w:pPr>
              <w:spacing w:line="240" w:lineRule="auto"/>
              <w:jc w:val="center"/>
            </w:pPr>
          </w:p>
        </w:tc>
        <w:tc>
          <w:tcPr>
            <w:tcW w:w="582" w:type="pct"/>
            <w:noWrap w:val="0"/>
            <w:vAlign w:val="center"/>
          </w:tcPr>
          <w:p w14:paraId="39F49B3A">
            <w:pPr>
              <w:spacing w:line="240" w:lineRule="auto"/>
              <w:jc w:val="center"/>
            </w:pPr>
          </w:p>
        </w:tc>
      </w:tr>
      <w:tr w14:paraId="11F0FF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6FFB249C">
            <w:pPr>
              <w:widowControl/>
              <w:snapToGrid w:val="0"/>
              <w:spacing w:line="240" w:lineRule="auto"/>
              <w:jc w:val="center"/>
              <w:rPr>
                <w:rFonts w:ascii="宋体" w:hAnsi="宋体" w:cs="宋体"/>
                <w:bCs/>
                <w:szCs w:val="21"/>
              </w:rPr>
            </w:pPr>
            <w:r>
              <w:rPr>
                <w:rFonts w:hint="eastAsia" w:ascii="宋体" w:hAnsi="宋体" w:cs="宋体"/>
                <w:bCs/>
                <w:szCs w:val="21"/>
              </w:rPr>
              <w:t>8</w:t>
            </w:r>
          </w:p>
        </w:tc>
        <w:tc>
          <w:tcPr>
            <w:tcW w:w="564" w:type="pct"/>
            <w:shd w:val="clear" w:color="auto" w:fill="FFFFFF"/>
            <w:noWrap w:val="0"/>
            <w:vAlign w:val="center"/>
          </w:tcPr>
          <w:p w14:paraId="1A7E061D">
            <w:pPr>
              <w:spacing w:line="240" w:lineRule="auto"/>
              <w:jc w:val="center"/>
              <w:rPr>
                <w:rFonts w:hint="eastAsia"/>
              </w:rPr>
            </w:pPr>
            <w:r>
              <w:rPr>
                <w:rFonts w:hint="eastAsia"/>
              </w:rPr>
              <w:t>无线手持话筒</w:t>
            </w:r>
          </w:p>
        </w:tc>
        <w:tc>
          <w:tcPr>
            <w:tcW w:w="2625" w:type="pct"/>
            <w:shd w:val="clear" w:color="auto" w:fill="FFFFFF"/>
            <w:noWrap w:val="0"/>
            <w:vAlign w:val="center"/>
          </w:tcPr>
          <w:p w14:paraId="718CDAEA">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"1、包含接收主机一台，手持话筒两只；</w:t>
            </w:r>
          </w:p>
          <w:p w14:paraId="0F50C6CD">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2、RF高动态范围及第三代中频电路，大幅提升互不干扰的频道数及抗干扰特性； </w:t>
            </w:r>
          </w:p>
          <w:p w14:paraId="56FF1941">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3、第1-4组预设16个互不干扰频率，第5－8预设24个互不干扰频率，第U组为用户自定义组，最多可提供2000频率供客户自定义选择使用；</w:t>
            </w:r>
          </w:p>
          <w:p w14:paraId="57DB2853">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4、采用天线分集式接收及数字导音，杂音锁定双重静音控制，接收距离远，消除接收断音及不稳的缺失；</w:t>
            </w:r>
          </w:p>
          <w:p w14:paraId="05EBA276">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5、黑色金属面板，LED段码显示器，可同时显示群组、频率、电池电量、静音位准、电子音量等相关信息；LED灯柱显示RF/AF强度；</w:t>
            </w:r>
          </w:p>
          <w:p w14:paraId="645076B4">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6、采用飞梭旋钮取代传统复杂的按键，操作快速方便；</w:t>
            </w:r>
          </w:p>
          <w:p w14:paraId="452A16A3">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★7、天线接口采用50Ω/TNC螺纹接口，保持天线可靠连接。并支持天线环路输出，支持同型产品射频级联；提供天线环路输出接口实物图影印件或扫描件；</w:t>
            </w:r>
          </w:p>
          <w:p w14:paraId="0B7FB536">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★8、TRS6.35和XLR卡龙座混合音频输出，CH1、CH2独立音频输出，具有MIC/LINE输出开关；提供MIC/LINE输出切换开关实物图影印件或扫描件；</w:t>
            </w:r>
          </w:p>
          <w:p w14:paraId="2E3BE08D">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9、天线座提供12V电压，可以连接天线系统，增加接收距离及稳定的接收效果；</w:t>
            </w:r>
          </w:p>
          <w:p w14:paraId="6E0AA443">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★10、供电方式：220V交流电源输入，220V交流电源环路输出；提供电源环路输出实物图影印件或扫描件；</w:t>
            </w:r>
          </w:p>
          <w:p w14:paraId="0F67C6B2">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11、频率范围：640MHz-690MHz；</w:t>
            </w:r>
          </w:p>
          <w:p w14:paraId="5ED6255C">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12、综合信噪比： ＞100dB；</w:t>
            </w:r>
          </w:p>
          <w:p w14:paraId="38EF7A9A">
            <w:pPr>
              <w:spacing w:line="240" w:lineRule="auto"/>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13、音频响应： 80Hz-18KHz；</w:t>
            </w:r>
          </w:p>
        </w:tc>
        <w:tc>
          <w:tcPr>
            <w:tcW w:w="320" w:type="pct"/>
            <w:noWrap w:val="0"/>
            <w:vAlign w:val="center"/>
          </w:tcPr>
          <w:p w14:paraId="17062BAF">
            <w:pPr>
              <w:spacing w:line="240" w:lineRule="auto"/>
              <w:jc w:val="center"/>
            </w:pPr>
            <w:r>
              <w:t>3</w:t>
            </w:r>
            <w:r>
              <w:rPr>
                <w:rFonts w:hint="eastAsia"/>
              </w:rPr>
              <w:t>套</w:t>
            </w:r>
          </w:p>
        </w:tc>
        <w:tc>
          <w:tcPr>
            <w:tcW w:w="544" w:type="pct"/>
            <w:noWrap w:val="0"/>
            <w:vAlign w:val="center"/>
          </w:tcPr>
          <w:p w14:paraId="6DDAB600">
            <w:pPr>
              <w:spacing w:line="240" w:lineRule="auto"/>
              <w:jc w:val="center"/>
            </w:pPr>
          </w:p>
        </w:tc>
        <w:tc>
          <w:tcPr>
            <w:tcW w:w="582" w:type="pct"/>
            <w:noWrap w:val="0"/>
            <w:vAlign w:val="center"/>
          </w:tcPr>
          <w:p w14:paraId="2E595021">
            <w:pPr>
              <w:spacing w:line="240" w:lineRule="auto"/>
              <w:jc w:val="center"/>
            </w:pPr>
          </w:p>
        </w:tc>
      </w:tr>
      <w:tr w14:paraId="4397F3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72F35CA9">
            <w:pPr>
              <w:widowControl/>
              <w:snapToGrid w:val="0"/>
              <w:spacing w:line="240" w:lineRule="auto"/>
              <w:jc w:val="center"/>
              <w:rPr>
                <w:rFonts w:ascii="宋体" w:hAnsi="宋体" w:cs="宋体"/>
                <w:bCs/>
                <w:szCs w:val="21"/>
              </w:rPr>
            </w:pPr>
            <w:r>
              <w:rPr>
                <w:rFonts w:hint="eastAsia" w:ascii="宋体" w:hAnsi="宋体" w:cs="宋体"/>
                <w:bCs/>
                <w:szCs w:val="21"/>
              </w:rPr>
              <w:t>9</w:t>
            </w:r>
          </w:p>
        </w:tc>
        <w:tc>
          <w:tcPr>
            <w:tcW w:w="564" w:type="pct"/>
            <w:shd w:val="clear" w:color="auto" w:fill="FFFFFF"/>
            <w:noWrap w:val="0"/>
            <w:vAlign w:val="center"/>
          </w:tcPr>
          <w:p w14:paraId="04765FAD">
            <w:pPr>
              <w:spacing w:line="240" w:lineRule="auto"/>
              <w:jc w:val="center"/>
              <w:rPr>
                <w:rFonts w:hint="eastAsia"/>
              </w:rPr>
            </w:pPr>
            <w:r>
              <w:rPr>
                <w:rFonts w:hint="eastAsia"/>
              </w:rPr>
              <w:t>无线会议系统主机</w:t>
            </w:r>
          </w:p>
        </w:tc>
        <w:tc>
          <w:tcPr>
            <w:tcW w:w="2625" w:type="pct"/>
            <w:shd w:val="clear" w:color="auto" w:fill="FFFFFF"/>
            <w:noWrap w:val="0"/>
            <w:vAlign w:val="center"/>
          </w:tcPr>
          <w:p w14:paraId="4539FF1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1、主控机采用全金属结构设计，庄重大方；列席单元采用工程塑料材质加上新颖的外型设计，美观得体；</w:t>
            </w:r>
          </w:p>
          <w:p w14:paraId="04773992">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2、会议主机支持无线传输与有线传输2种方式，无线会议单元与有线会议单元可以共用一个系统；</w:t>
            </w:r>
          </w:p>
          <w:p w14:paraId="670ACCA0">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3、会议主机具有LCD显示屏，分级菜单显示，且有电量显示、欠压警告、频率信道和信号指示等显示功能；</w:t>
            </w:r>
          </w:p>
          <w:p w14:paraId="24C1273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4、会议系统具有轮替模式、限制模式、主席专有多种会议发言模式；</w:t>
            </w:r>
          </w:p>
          <w:p w14:paraId="5677F91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5、会议主机可外接视像跟踪模块，实现会议单元的视像跟踪功能；</w:t>
            </w:r>
          </w:p>
          <w:p w14:paraId="41909747">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6、单台会议主机可挂载≦255席表决单元或≦1000席发言单元同时进行会议；</w:t>
            </w:r>
          </w:p>
          <w:p w14:paraId="0D4BC8D4">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7、会议主机可外接8芯转换盒，实现有线列席单元供电及音频通讯8芯电缆方式传送；</w:t>
            </w:r>
          </w:p>
          <w:p w14:paraId="41822D10">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8、会议主机支持无线方式单元采用FM调频方式实现声音信号传输，音频信道和控制信道皆采用无线方式传送，高保真，信噪比高，无声音延时；</w:t>
            </w:r>
          </w:p>
          <w:p w14:paraId="053670DD">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★9、会议主机具有1路控制信道天线接口(ANT DATA)、3路无线列席单元音频信道天线接口(ANT)、RS232接口、网络分线盒接口(LAN)、数据接口(DATA，外接视像跟踪模块)、控制信道天线盒接口(ANT EXT)；提供实物功能接口图影印件或扫描件；</w:t>
            </w:r>
          </w:p>
          <w:p w14:paraId="2C82D71A">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★10、无线单元音频输出接口（W-AUDIO OUT）、有线单元音频输出接口（AUDIO OUT-L）、系统移频功能开关（FS:ON-OFF），音频混合输出接口（MIX OUT）、音频混合平衡输出接口（MIX BAL）、DSP音效调节控制接口（USB AUDIO）；提供实物功能接口图影印件或扫描件；</w:t>
            </w:r>
          </w:p>
          <w:p w14:paraId="2A6FAE89">
            <w:pPr>
              <w:spacing w:line="240" w:lineRule="auto"/>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11、会议主机支持在有线无线单元混合使用情况下，将有线单元与无线单元音频信号分开输出；</w:t>
            </w:r>
          </w:p>
        </w:tc>
        <w:tc>
          <w:tcPr>
            <w:tcW w:w="320" w:type="pct"/>
            <w:noWrap w:val="0"/>
            <w:vAlign w:val="center"/>
          </w:tcPr>
          <w:p w14:paraId="784F919A">
            <w:pPr>
              <w:spacing w:line="240" w:lineRule="auto"/>
              <w:jc w:val="center"/>
            </w:pPr>
            <w:r>
              <w:t>3</w:t>
            </w:r>
            <w:r>
              <w:rPr>
                <w:rFonts w:hint="eastAsia"/>
              </w:rPr>
              <w:t>台</w:t>
            </w:r>
          </w:p>
        </w:tc>
        <w:tc>
          <w:tcPr>
            <w:tcW w:w="544" w:type="pct"/>
            <w:noWrap w:val="0"/>
            <w:vAlign w:val="center"/>
          </w:tcPr>
          <w:p w14:paraId="5287D77E">
            <w:pPr>
              <w:spacing w:line="240" w:lineRule="auto"/>
              <w:jc w:val="center"/>
            </w:pPr>
          </w:p>
        </w:tc>
        <w:tc>
          <w:tcPr>
            <w:tcW w:w="582" w:type="pct"/>
            <w:noWrap w:val="0"/>
            <w:vAlign w:val="center"/>
          </w:tcPr>
          <w:p w14:paraId="06361787">
            <w:pPr>
              <w:spacing w:line="240" w:lineRule="auto"/>
              <w:jc w:val="center"/>
            </w:pPr>
          </w:p>
        </w:tc>
      </w:tr>
      <w:tr w14:paraId="39AEFC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2F44F8A2">
            <w:pPr>
              <w:widowControl/>
              <w:snapToGrid w:val="0"/>
              <w:spacing w:line="240" w:lineRule="auto"/>
              <w:jc w:val="center"/>
              <w:rPr>
                <w:rFonts w:ascii="宋体" w:hAnsi="宋体" w:cs="宋体"/>
                <w:bCs/>
                <w:szCs w:val="21"/>
              </w:rPr>
            </w:pPr>
            <w:r>
              <w:rPr>
                <w:rFonts w:hint="eastAsia" w:ascii="宋体" w:hAnsi="宋体" w:cs="宋体"/>
                <w:bCs/>
                <w:szCs w:val="21"/>
              </w:rPr>
              <w:t>10</w:t>
            </w:r>
          </w:p>
        </w:tc>
        <w:tc>
          <w:tcPr>
            <w:tcW w:w="564" w:type="pct"/>
            <w:shd w:val="clear" w:color="auto" w:fill="FFFFFF"/>
            <w:noWrap w:val="0"/>
            <w:vAlign w:val="center"/>
          </w:tcPr>
          <w:p w14:paraId="6C72A9B6">
            <w:pPr>
              <w:spacing w:line="240" w:lineRule="auto"/>
              <w:jc w:val="center"/>
              <w:rPr>
                <w:rFonts w:hint="eastAsia"/>
              </w:rPr>
            </w:pPr>
            <w:r>
              <w:rPr>
                <w:rFonts w:hint="eastAsia"/>
              </w:rPr>
              <w:t>无线主席单元</w:t>
            </w:r>
          </w:p>
        </w:tc>
        <w:tc>
          <w:tcPr>
            <w:tcW w:w="2625" w:type="pct"/>
            <w:shd w:val="clear" w:color="auto" w:fill="FFFFFF"/>
            <w:noWrap w:val="0"/>
            <w:vAlign w:val="center"/>
          </w:tcPr>
          <w:p w14:paraId="6F87D45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1、新颖的结构设计，驻极体超心形指向性话筒，方管电容话筒；</w:t>
            </w:r>
          </w:p>
          <w:p w14:paraId="50975B6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2、主席话筒具有主席优先功能键，可一键关闭所有代表话筒；</w:t>
            </w:r>
          </w:p>
          <w:p w14:paraId="6DDE16D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3、单元具有抗手机、电磁、高频干扰能力；</w:t>
            </w:r>
          </w:p>
          <w:p w14:paraId="04097D90">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4、LCD显示屏，可显示话筒状态及系统菜单；</w:t>
            </w:r>
          </w:p>
          <w:p w14:paraId="08A9C596">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5、会议单元具有独立电源开关键，智能电路管理电池电量、具有实时电量显示；</w:t>
            </w:r>
          </w:p>
          <w:p w14:paraId="0B6AC9CC">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6、具有话筒开关按键，按下开关键咪管指示灯环亮，话筒为开启状态；</w:t>
            </w:r>
          </w:p>
          <w:p w14:paraId="068CEA2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★7、单元具有至少5个表决操作功能按键（1/MUTE、2/VOL+、3/VOL-、4/KEY、5/KEY），配合会议系统专用管理软件具有投票、表决类功能；提供实物功能接口图影印件或扫描件；</w:t>
            </w:r>
          </w:p>
          <w:p w14:paraId="660CA33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8、单元采用专用充电锂电池供电方式，超低功耗，列席单元大于8小时的连续发言时间和大于20小时的待机时间；</w:t>
            </w:r>
          </w:p>
          <w:p w14:paraId="05543ED9">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9、音频通信方式：超高频无线电波；</w:t>
            </w:r>
          </w:p>
          <w:p w14:paraId="419649A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10、咪管长度：240mm；</w:t>
            </w:r>
          </w:p>
        </w:tc>
        <w:tc>
          <w:tcPr>
            <w:tcW w:w="320" w:type="pct"/>
            <w:noWrap w:val="0"/>
            <w:vAlign w:val="center"/>
          </w:tcPr>
          <w:p w14:paraId="5D7EA053">
            <w:pPr>
              <w:spacing w:line="240" w:lineRule="auto"/>
              <w:jc w:val="center"/>
              <w:rPr>
                <w:rFonts w:hint="eastAsia"/>
              </w:rPr>
            </w:pPr>
            <w:r>
              <w:t>3</w:t>
            </w:r>
            <w:r>
              <w:rPr>
                <w:rFonts w:hint="eastAsia"/>
              </w:rPr>
              <w:t>只</w:t>
            </w:r>
          </w:p>
        </w:tc>
        <w:tc>
          <w:tcPr>
            <w:tcW w:w="544" w:type="pct"/>
            <w:noWrap w:val="0"/>
            <w:vAlign w:val="center"/>
          </w:tcPr>
          <w:p w14:paraId="23C8C035">
            <w:pPr>
              <w:spacing w:line="240" w:lineRule="auto"/>
              <w:jc w:val="center"/>
            </w:pPr>
          </w:p>
        </w:tc>
        <w:tc>
          <w:tcPr>
            <w:tcW w:w="582" w:type="pct"/>
            <w:noWrap w:val="0"/>
            <w:vAlign w:val="center"/>
          </w:tcPr>
          <w:p w14:paraId="2E7D118D">
            <w:pPr>
              <w:spacing w:line="240" w:lineRule="auto"/>
              <w:jc w:val="center"/>
            </w:pPr>
          </w:p>
        </w:tc>
      </w:tr>
      <w:tr w14:paraId="0BDED2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1D588C53">
            <w:pPr>
              <w:widowControl/>
              <w:snapToGrid w:val="0"/>
              <w:spacing w:line="240" w:lineRule="auto"/>
              <w:jc w:val="center"/>
              <w:rPr>
                <w:rFonts w:ascii="宋体" w:hAnsi="宋体" w:cs="宋体"/>
                <w:bCs/>
                <w:szCs w:val="21"/>
              </w:rPr>
            </w:pPr>
            <w:r>
              <w:rPr>
                <w:rFonts w:hint="eastAsia" w:ascii="宋体" w:hAnsi="宋体" w:cs="宋体"/>
                <w:bCs/>
                <w:szCs w:val="21"/>
              </w:rPr>
              <w:t>11</w:t>
            </w:r>
          </w:p>
        </w:tc>
        <w:tc>
          <w:tcPr>
            <w:tcW w:w="564" w:type="pct"/>
            <w:shd w:val="clear" w:color="auto" w:fill="FFFFFF"/>
            <w:noWrap w:val="0"/>
            <w:vAlign w:val="center"/>
          </w:tcPr>
          <w:p w14:paraId="30804AD6">
            <w:pPr>
              <w:spacing w:line="240" w:lineRule="auto"/>
              <w:jc w:val="center"/>
              <w:rPr>
                <w:rFonts w:hint="eastAsia"/>
              </w:rPr>
            </w:pPr>
            <w:r>
              <w:rPr>
                <w:rFonts w:hint="eastAsia"/>
              </w:rPr>
              <w:t>无线客席单元</w:t>
            </w:r>
          </w:p>
        </w:tc>
        <w:tc>
          <w:tcPr>
            <w:tcW w:w="2625" w:type="pct"/>
            <w:shd w:val="clear" w:color="auto" w:fill="FFFFFF"/>
            <w:noWrap w:val="0"/>
            <w:vAlign w:val="center"/>
          </w:tcPr>
          <w:p w14:paraId="5C4F7BDF">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1、新颖的结构设计，驻极体超心形指向性话筒，方管电容话筒；</w:t>
            </w:r>
          </w:p>
          <w:p w14:paraId="75B5E33B">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2、主席话筒具有主席优先功能键，可一键关闭所有代表话筒；</w:t>
            </w:r>
          </w:p>
          <w:p w14:paraId="71D8DB5C">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3、单元具有抗手机、电磁、高频干扰能力；</w:t>
            </w:r>
          </w:p>
          <w:p w14:paraId="1F339351">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4、LCD显示屏，可显示话筒状态及系统菜单；</w:t>
            </w:r>
          </w:p>
          <w:p w14:paraId="1F7F5E62">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5、会议单元具有独立电源开关键，智能电路管理电池电量、具有实时电量显示；</w:t>
            </w:r>
          </w:p>
          <w:p w14:paraId="6C7DC615">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6、具有话筒开关按键，按下开关键咪管指示灯环亮，话筒为开启状态；</w:t>
            </w:r>
          </w:p>
          <w:p w14:paraId="06E7C707">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7、单元具有至少5个表决操作功能按键（1/MUTE、2/VOL+、3/VOL-、4/KEY、5/KEY），配合会议系统专用管理软件具有投票、表决类功能；</w:t>
            </w:r>
          </w:p>
          <w:p w14:paraId="4AFCD143">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8、单元采用专用充电锂电池供电方式，超低功耗，列席单元大于8小时的连续发言时间和大于20小时的待机时间；</w:t>
            </w:r>
          </w:p>
          <w:p w14:paraId="31E6B714">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9、音频通信方式：超高频无线电波；</w:t>
            </w:r>
          </w:p>
          <w:p w14:paraId="1FA59B3A">
            <w:pPr>
              <w:spacing w:line="240" w:lineRule="auto"/>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10、咪管长度：240mm；</w:t>
            </w:r>
          </w:p>
        </w:tc>
        <w:tc>
          <w:tcPr>
            <w:tcW w:w="320" w:type="pct"/>
            <w:noWrap w:val="0"/>
            <w:vAlign w:val="center"/>
          </w:tcPr>
          <w:p w14:paraId="5879FC82">
            <w:pPr>
              <w:spacing w:line="240" w:lineRule="auto"/>
              <w:jc w:val="center"/>
            </w:pPr>
            <w:r>
              <w:t>21</w:t>
            </w:r>
            <w:r>
              <w:rPr>
                <w:rFonts w:hint="eastAsia"/>
              </w:rPr>
              <w:t>只</w:t>
            </w:r>
          </w:p>
        </w:tc>
        <w:tc>
          <w:tcPr>
            <w:tcW w:w="544" w:type="pct"/>
            <w:noWrap w:val="0"/>
            <w:vAlign w:val="center"/>
          </w:tcPr>
          <w:p w14:paraId="64202924">
            <w:pPr>
              <w:spacing w:line="240" w:lineRule="auto"/>
              <w:jc w:val="center"/>
            </w:pPr>
          </w:p>
        </w:tc>
        <w:tc>
          <w:tcPr>
            <w:tcW w:w="582" w:type="pct"/>
            <w:noWrap w:val="0"/>
            <w:vAlign w:val="center"/>
          </w:tcPr>
          <w:p w14:paraId="4C2D03A6">
            <w:pPr>
              <w:spacing w:line="240" w:lineRule="auto"/>
              <w:jc w:val="center"/>
            </w:pPr>
          </w:p>
        </w:tc>
      </w:tr>
      <w:tr w14:paraId="1BBD78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767C84D6">
            <w:pPr>
              <w:widowControl/>
              <w:snapToGrid w:val="0"/>
              <w:spacing w:line="240" w:lineRule="auto"/>
              <w:jc w:val="center"/>
              <w:rPr>
                <w:rFonts w:ascii="宋体" w:hAnsi="宋体" w:cs="宋体"/>
                <w:bCs/>
                <w:szCs w:val="21"/>
              </w:rPr>
            </w:pPr>
            <w:r>
              <w:rPr>
                <w:rFonts w:hint="eastAsia" w:ascii="宋体" w:hAnsi="宋体" w:cs="宋体"/>
                <w:bCs/>
                <w:szCs w:val="21"/>
              </w:rPr>
              <w:t>12</w:t>
            </w:r>
          </w:p>
        </w:tc>
        <w:tc>
          <w:tcPr>
            <w:tcW w:w="564" w:type="pct"/>
            <w:shd w:val="clear" w:color="auto" w:fill="FFFFFF"/>
            <w:noWrap w:val="0"/>
            <w:vAlign w:val="center"/>
          </w:tcPr>
          <w:p w14:paraId="6C93A250">
            <w:pPr>
              <w:spacing w:line="240" w:lineRule="auto"/>
              <w:jc w:val="center"/>
              <w:rPr>
                <w:rFonts w:hint="eastAsia"/>
              </w:rPr>
            </w:pPr>
            <w:r>
              <w:rPr>
                <w:rFonts w:hint="eastAsia"/>
              </w:rPr>
              <w:t>电源时序器</w:t>
            </w:r>
          </w:p>
        </w:tc>
        <w:tc>
          <w:tcPr>
            <w:tcW w:w="2625" w:type="pct"/>
            <w:shd w:val="clear" w:color="auto" w:fill="FFFFFF"/>
            <w:noWrap w:val="0"/>
            <w:vAlign w:val="center"/>
          </w:tcPr>
          <w:p w14:paraId="3968D6B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1、电源电压显示：LED数码管实时显示，显示精度士2%, 能实时显示输入电源电压；</w:t>
            </w:r>
          </w:p>
          <w:p w14:paraId="692B28A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★2、输出插座：14个国标五孔电源插座，输出能时序总控制和单路控制输出；提供实物功能接口图影印件或扫描件；</w:t>
            </w:r>
          </w:p>
          <w:p w14:paraId="4EFE1AB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★3、直流输出路数：6路12V（土1V) /1. 2A直流输出；提供实物功能接口图影印件或扫描件；</w:t>
            </w:r>
          </w:p>
          <w:p w14:paraId="35CEE3C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4、时序延迟时间：≥0.5s；</w:t>
            </w:r>
          </w:p>
          <w:p w14:paraId="5532A7E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5、控制功能：RS232串口控制、凤凰控制口，实现单机控制、多机联机控制，远程控制；</w:t>
            </w:r>
          </w:p>
          <w:p w14:paraId="3995ECB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6、保护功能：前面板配有80A空气开关，具有过流、漏电保护功能；7、按键和指示灯：每路交流输出电源带独立控制按键和LED指示灯；</w:t>
            </w:r>
          </w:p>
          <w:p w14:paraId="5E300CA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8、接口功能：前面板带有USB接口，USB接口有5V直流电源输出；</w:t>
            </w:r>
          </w:p>
        </w:tc>
        <w:tc>
          <w:tcPr>
            <w:tcW w:w="320" w:type="pct"/>
            <w:noWrap w:val="0"/>
            <w:vAlign w:val="center"/>
          </w:tcPr>
          <w:p w14:paraId="0D211D8E">
            <w:pPr>
              <w:spacing w:line="240" w:lineRule="auto"/>
              <w:jc w:val="center"/>
            </w:pPr>
            <w:r>
              <w:t>3</w:t>
            </w:r>
            <w:r>
              <w:rPr>
                <w:rFonts w:hint="eastAsia"/>
              </w:rPr>
              <w:t>台</w:t>
            </w:r>
          </w:p>
        </w:tc>
        <w:tc>
          <w:tcPr>
            <w:tcW w:w="544" w:type="pct"/>
            <w:noWrap w:val="0"/>
            <w:vAlign w:val="center"/>
          </w:tcPr>
          <w:p w14:paraId="5D93C0A9">
            <w:pPr>
              <w:spacing w:line="240" w:lineRule="auto"/>
              <w:jc w:val="center"/>
            </w:pPr>
          </w:p>
        </w:tc>
        <w:tc>
          <w:tcPr>
            <w:tcW w:w="582" w:type="pct"/>
            <w:noWrap w:val="0"/>
            <w:vAlign w:val="center"/>
          </w:tcPr>
          <w:p w14:paraId="6F40E9B8">
            <w:pPr>
              <w:spacing w:line="240" w:lineRule="auto"/>
              <w:jc w:val="center"/>
            </w:pPr>
          </w:p>
        </w:tc>
      </w:tr>
      <w:tr w14:paraId="45DB8C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55582E23">
            <w:pPr>
              <w:widowControl/>
              <w:snapToGrid w:val="0"/>
              <w:spacing w:line="240" w:lineRule="auto"/>
              <w:jc w:val="center"/>
              <w:rPr>
                <w:rFonts w:ascii="宋体" w:hAnsi="宋体" w:cs="宋体"/>
                <w:bCs/>
                <w:szCs w:val="21"/>
              </w:rPr>
            </w:pPr>
            <w:r>
              <w:rPr>
                <w:rFonts w:hint="eastAsia" w:ascii="宋体" w:hAnsi="宋体" w:cs="宋体"/>
                <w:bCs/>
                <w:szCs w:val="21"/>
              </w:rPr>
              <w:t>13</w:t>
            </w:r>
          </w:p>
        </w:tc>
        <w:tc>
          <w:tcPr>
            <w:tcW w:w="564" w:type="pct"/>
            <w:shd w:val="clear" w:color="auto" w:fill="FFFFFF"/>
            <w:noWrap w:val="0"/>
            <w:vAlign w:val="center"/>
          </w:tcPr>
          <w:p w14:paraId="6A7D3876">
            <w:pPr>
              <w:spacing w:line="240" w:lineRule="auto"/>
              <w:jc w:val="center"/>
            </w:pPr>
            <w:r>
              <w:rPr>
                <w:rFonts w:hint="eastAsia"/>
              </w:rPr>
              <w:t>机柜</w:t>
            </w:r>
          </w:p>
        </w:tc>
        <w:tc>
          <w:tcPr>
            <w:tcW w:w="2625" w:type="pct"/>
            <w:shd w:val="clear" w:color="auto" w:fill="FFFFFF"/>
            <w:noWrap w:val="0"/>
            <w:vAlign w:val="center"/>
          </w:tcPr>
          <w:p w14:paraId="6F5D291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1、规格型号：1.8米调音机柜</w:t>
            </w:r>
          </w:p>
          <w:p w14:paraId="5B690DD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2、技术参数：（1）立柱：2.0mm，横梁：1.5mm，前后门：1.2mm,其他：1.0 ；（2）机柜材质：SPCC优质冷轧钢板 ；（3）配件：含托盘、机柜螺丝</w:t>
            </w:r>
          </w:p>
        </w:tc>
        <w:tc>
          <w:tcPr>
            <w:tcW w:w="320" w:type="pct"/>
            <w:noWrap w:val="0"/>
            <w:vAlign w:val="center"/>
          </w:tcPr>
          <w:p w14:paraId="272F8DE5">
            <w:pPr>
              <w:spacing w:line="240" w:lineRule="auto"/>
              <w:jc w:val="center"/>
            </w:pPr>
            <w:r>
              <w:t>4</w:t>
            </w:r>
            <w:r>
              <w:rPr>
                <w:rFonts w:hint="eastAsia"/>
              </w:rPr>
              <w:t>台</w:t>
            </w:r>
          </w:p>
        </w:tc>
        <w:tc>
          <w:tcPr>
            <w:tcW w:w="544" w:type="pct"/>
            <w:noWrap w:val="0"/>
            <w:vAlign w:val="center"/>
          </w:tcPr>
          <w:p w14:paraId="22999AE0">
            <w:pPr>
              <w:spacing w:line="240" w:lineRule="auto"/>
              <w:jc w:val="center"/>
            </w:pPr>
          </w:p>
        </w:tc>
        <w:tc>
          <w:tcPr>
            <w:tcW w:w="582" w:type="pct"/>
            <w:noWrap w:val="0"/>
            <w:vAlign w:val="center"/>
          </w:tcPr>
          <w:p w14:paraId="0FDF415B">
            <w:pPr>
              <w:spacing w:line="240" w:lineRule="auto"/>
              <w:jc w:val="center"/>
            </w:pPr>
          </w:p>
        </w:tc>
      </w:tr>
      <w:tr w14:paraId="63378C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0264F32D">
            <w:pPr>
              <w:widowControl/>
              <w:snapToGrid w:val="0"/>
              <w:spacing w:line="240" w:lineRule="auto"/>
              <w:jc w:val="center"/>
              <w:rPr>
                <w:rFonts w:ascii="宋体" w:hAnsi="宋体" w:cs="宋体"/>
                <w:bCs/>
                <w:szCs w:val="21"/>
              </w:rPr>
            </w:pPr>
            <w:r>
              <w:rPr>
                <w:rFonts w:hint="eastAsia" w:ascii="宋体" w:hAnsi="宋体" w:cs="宋体"/>
                <w:bCs/>
                <w:szCs w:val="21"/>
              </w:rPr>
              <w:t>14</w:t>
            </w:r>
          </w:p>
        </w:tc>
        <w:tc>
          <w:tcPr>
            <w:tcW w:w="564" w:type="pct"/>
            <w:shd w:val="clear" w:color="auto" w:fill="FFFFFF"/>
            <w:noWrap w:val="0"/>
            <w:vAlign w:val="center"/>
          </w:tcPr>
          <w:p w14:paraId="4E129072">
            <w:pPr>
              <w:spacing w:line="240" w:lineRule="auto"/>
              <w:jc w:val="center"/>
              <w:rPr>
                <w:rFonts w:hint="eastAsia"/>
              </w:rPr>
            </w:pPr>
            <w:r>
              <w:rPr>
                <w:rFonts w:hint="eastAsia"/>
              </w:rPr>
              <w:t>线阵列全频音箱</w:t>
            </w:r>
          </w:p>
        </w:tc>
        <w:tc>
          <w:tcPr>
            <w:tcW w:w="2625" w:type="pct"/>
            <w:shd w:val="clear" w:color="auto" w:fill="FFFFFF"/>
            <w:noWrap w:val="0"/>
            <w:vAlign w:val="center"/>
          </w:tcPr>
          <w:p w14:paraId="15714F1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1、2×5"低频驱动单元；</w:t>
            </w:r>
          </w:p>
          <w:p w14:paraId="4913D99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2、1×1.35"高音单元</w:t>
            </w:r>
          </w:p>
          <w:p w14:paraId="3DF4A07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3、额定功率（RMS)不小于260W/16Ω</w:t>
            </w:r>
          </w:p>
          <w:p w14:paraId="543912A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4、特性灵敏度不小于95±2dB/W/m</w:t>
            </w:r>
          </w:p>
          <w:p w14:paraId="0E4135D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5、输出声压级不小于119±2dB/W/m(Continues)；125±2dB/W/m(Peak)</w:t>
            </w:r>
          </w:p>
          <w:p w14:paraId="560073B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6、低频截止频率不高于：80Hz；高频截止频率不低于：20KHz</w:t>
            </w:r>
          </w:p>
          <w:p w14:paraId="1534F35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7、单只水平覆盖范围：100°；单只垂直覆盖范围：10°</w:t>
            </w:r>
          </w:p>
        </w:tc>
        <w:tc>
          <w:tcPr>
            <w:tcW w:w="320" w:type="pct"/>
            <w:noWrap w:val="0"/>
            <w:vAlign w:val="center"/>
          </w:tcPr>
          <w:p w14:paraId="0993A6B3">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8只</w:t>
            </w:r>
          </w:p>
        </w:tc>
        <w:tc>
          <w:tcPr>
            <w:tcW w:w="544" w:type="pct"/>
            <w:noWrap w:val="0"/>
            <w:vAlign w:val="center"/>
          </w:tcPr>
          <w:p w14:paraId="2C8191CD">
            <w:pPr>
              <w:widowControl/>
              <w:spacing w:line="240" w:lineRule="auto"/>
              <w:jc w:val="center"/>
              <w:rPr>
                <w:rFonts w:hint="eastAsia" w:ascii="宋体" w:hAnsi="宋体" w:cs="宋体"/>
                <w:color w:val="000000"/>
                <w:kern w:val="0"/>
                <w:szCs w:val="21"/>
              </w:rPr>
            </w:pPr>
          </w:p>
        </w:tc>
        <w:tc>
          <w:tcPr>
            <w:tcW w:w="582" w:type="pct"/>
            <w:noWrap w:val="0"/>
            <w:vAlign w:val="center"/>
          </w:tcPr>
          <w:p w14:paraId="1B7A463A">
            <w:pPr>
              <w:widowControl/>
              <w:spacing w:line="240" w:lineRule="auto"/>
              <w:jc w:val="center"/>
              <w:rPr>
                <w:rFonts w:hint="eastAsia" w:ascii="宋体" w:hAnsi="宋体" w:cs="宋体"/>
                <w:color w:val="000000"/>
                <w:kern w:val="0"/>
                <w:szCs w:val="21"/>
              </w:rPr>
            </w:pPr>
          </w:p>
        </w:tc>
      </w:tr>
      <w:tr w14:paraId="0A7781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6EC55680">
            <w:pPr>
              <w:widowControl/>
              <w:snapToGrid w:val="0"/>
              <w:spacing w:line="240" w:lineRule="auto"/>
              <w:jc w:val="center"/>
              <w:rPr>
                <w:rFonts w:ascii="宋体" w:hAnsi="宋体" w:cs="宋体"/>
                <w:bCs/>
                <w:szCs w:val="21"/>
              </w:rPr>
            </w:pPr>
            <w:r>
              <w:rPr>
                <w:rFonts w:hint="eastAsia" w:ascii="宋体" w:hAnsi="宋体" w:cs="宋体"/>
                <w:bCs/>
                <w:szCs w:val="21"/>
              </w:rPr>
              <w:t>15</w:t>
            </w:r>
          </w:p>
        </w:tc>
        <w:tc>
          <w:tcPr>
            <w:tcW w:w="564" w:type="pct"/>
            <w:shd w:val="clear" w:color="auto" w:fill="FFFFFF"/>
            <w:noWrap w:val="0"/>
            <w:vAlign w:val="center"/>
          </w:tcPr>
          <w:p w14:paraId="1948CA9D">
            <w:pPr>
              <w:spacing w:line="240" w:lineRule="auto"/>
              <w:jc w:val="center"/>
              <w:rPr>
                <w:rFonts w:hint="eastAsia"/>
              </w:rPr>
            </w:pPr>
            <w:r>
              <w:rPr>
                <w:rFonts w:hint="eastAsia"/>
              </w:rPr>
              <w:t>线阵列全频音箱功放</w:t>
            </w:r>
          </w:p>
        </w:tc>
        <w:tc>
          <w:tcPr>
            <w:tcW w:w="2625" w:type="pct"/>
            <w:shd w:val="clear" w:color="auto" w:fill="FFFFFF"/>
            <w:noWrap w:val="0"/>
            <w:vAlign w:val="center"/>
          </w:tcPr>
          <w:p w14:paraId="57B935E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1、专业铝合金型材面板，1U高度设计；</w:t>
            </w:r>
          </w:p>
          <w:p w14:paraId="2BF4163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2、D类数字功率放大器； </w:t>
            </w:r>
          </w:p>
          <w:p w14:paraId="0A04F2D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3、具有开机电源软启动功能、短路、过载、直流、过热保护、变压器过热保护和DC漂移等多重检测保护性能；</w:t>
            </w:r>
          </w:p>
          <w:p w14:paraId="5FA4282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4、两个XLR孔形卡侬输入插座，两个XLR孔形卡侬信号并接插座，两个SPEAKON输出快装接口，一个网络控制接口RJ45，一个RS-485控制接口；</w:t>
            </w:r>
          </w:p>
          <w:p w14:paraId="5A70DD0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5、具有低通功能；提供第三方有权检测机构出具的具有CMA或CNAS标识检测报告影印件或扫描件；</w:t>
            </w:r>
          </w:p>
          <w:p w14:paraId="777B5DA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6、输出功率：2X450W/8Ω；</w:t>
            </w:r>
          </w:p>
          <w:p w14:paraId="04B6B81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7、频率响应：20Hz—20KHz±1dB；</w:t>
            </w:r>
          </w:p>
          <w:p w14:paraId="35522A4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8、总谐波失真：THD≤0.1%（10%额定输出功率，1KHz）；</w:t>
            </w:r>
          </w:p>
          <w:p w14:paraId="6C599F7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9、输入灵敏度：0dBu(775mV)；</w:t>
            </w:r>
          </w:p>
          <w:p w14:paraId="6F29D8C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10、输入阻抗：平衡20KΩ，不平衡10KΩ；</w:t>
            </w:r>
          </w:p>
          <w:p w14:paraId="7D9B6C6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11、信噪比（A计权）：≥100dB；</w:t>
            </w:r>
          </w:p>
          <w:p w14:paraId="627C434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12、电压适应范围：AC～110-240V/50-60Hz；</w:t>
            </w:r>
          </w:p>
          <w:p w14:paraId="6B42D47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13、产品经过1500V AC（10mA）下冲击60s无损坏耐压测试；</w:t>
            </w:r>
          </w:p>
          <w:p w14:paraId="38F7092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14、阻尼系数：≥250；（实际597）</w:t>
            </w:r>
          </w:p>
          <w:p w14:paraId="02524E3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15、工作模式：立体声、桥接、并接；</w:t>
            </w:r>
          </w:p>
          <w:p w14:paraId="52C3B60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16、完整的LED工作状态指示灯（电源、信号、削峰、保护、网络）；</w:t>
            </w:r>
          </w:p>
        </w:tc>
        <w:tc>
          <w:tcPr>
            <w:tcW w:w="320" w:type="pct"/>
            <w:noWrap w:val="0"/>
            <w:vAlign w:val="center"/>
          </w:tcPr>
          <w:p w14:paraId="55E74926">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4台</w:t>
            </w:r>
          </w:p>
        </w:tc>
        <w:tc>
          <w:tcPr>
            <w:tcW w:w="544" w:type="pct"/>
            <w:noWrap w:val="0"/>
            <w:vAlign w:val="center"/>
          </w:tcPr>
          <w:p w14:paraId="01AE5276">
            <w:pPr>
              <w:widowControl/>
              <w:spacing w:line="240" w:lineRule="auto"/>
              <w:jc w:val="center"/>
              <w:rPr>
                <w:rFonts w:hint="eastAsia" w:ascii="宋体" w:hAnsi="宋体" w:cs="宋体"/>
                <w:color w:val="000000"/>
                <w:kern w:val="0"/>
                <w:szCs w:val="21"/>
              </w:rPr>
            </w:pPr>
          </w:p>
        </w:tc>
        <w:tc>
          <w:tcPr>
            <w:tcW w:w="582" w:type="pct"/>
            <w:noWrap w:val="0"/>
            <w:vAlign w:val="center"/>
          </w:tcPr>
          <w:p w14:paraId="20B93157">
            <w:pPr>
              <w:widowControl/>
              <w:spacing w:line="240" w:lineRule="auto"/>
              <w:jc w:val="center"/>
              <w:rPr>
                <w:rFonts w:hint="eastAsia" w:ascii="宋体" w:hAnsi="宋体" w:cs="宋体"/>
                <w:color w:val="000000"/>
                <w:kern w:val="0"/>
                <w:szCs w:val="21"/>
              </w:rPr>
            </w:pPr>
          </w:p>
        </w:tc>
      </w:tr>
      <w:tr w14:paraId="26F680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B680E37">
            <w:pPr>
              <w:widowControl/>
              <w:snapToGrid w:val="0"/>
              <w:spacing w:line="240" w:lineRule="auto"/>
              <w:jc w:val="center"/>
              <w:rPr>
                <w:rFonts w:hint="eastAsia" w:ascii="宋体" w:hAnsi="宋体" w:cs="宋体"/>
                <w:bCs/>
                <w:szCs w:val="21"/>
              </w:rPr>
            </w:pPr>
            <w:r>
              <w:rPr>
                <w:rFonts w:hint="eastAsia" w:ascii="宋体" w:hAnsi="宋体" w:cs="宋体"/>
                <w:bCs/>
                <w:szCs w:val="21"/>
              </w:rPr>
              <w:t>16</w:t>
            </w:r>
          </w:p>
        </w:tc>
        <w:tc>
          <w:tcPr>
            <w:tcW w:w="564" w:type="pct"/>
            <w:shd w:val="clear" w:color="auto" w:fill="FFFFFF"/>
            <w:noWrap w:val="0"/>
            <w:vAlign w:val="center"/>
          </w:tcPr>
          <w:p w14:paraId="45148EFA">
            <w:pPr>
              <w:spacing w:line="240" w:lineRule="auto"/>
              <w:jc w:val="center"/>
              <w:rPr>
                <w:rFonts w:hint="eastAsia"/>
              </w:rPr>
            </w:pPr>
            <w:r>
              <w:rPr>
                <w:rFonts w:hint="eastAsia"/>
              </w:rPr>
              <w:t>线阵列低音音箱</w:t>
            </w:r>
          </w:p>
        </w:tc>
        <w:tc>
          <w:tcPr>
            <w:tcW w:w="2625" w:type="pct"/>
            <w:shd w:val="clear" w:color="auto" w:fill="FFFFFF"/>
            <w:noWrap w:val="0"/>
            <w:vAlign w:val="center"/>
          </w:tcPr>
          <w:p w14:paraId="3884A2B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1、不小于1×10""低频驱动单元</w:t>
            </w:r>
          </w:p>
          <w:p w14:paraId="65CA833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2、额定功率（RMS)不小于400W/8Ω</w:t>
            </w:r>
          </w:p>
          <w:p w14:paraId="5EA5FC2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3、特性灵敏度不小于95±2dB/W/m（有效频率带通平均）</w:t>
            </w:r>
          </w:p>
          <w:p w14:paraId="74EFE84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4、输出声压级不小于121±2dB/W/m(Continues)；127±2dB/W/m(Peak)</w:t>
            </w:r>
          </w:p>
          <w:p w14:paraId="641F504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5、低频截止频率不高于：45-500Hz；</w:t>
            </w:r>
          </w:p>
        </w:tc>
        <w:tc>
          <w:tcPr>
            <w:tcW w:w="320" w:type="pct"/>
            <w:noWrap w:val="0"/>
            <w:vAlign w:val="center"/>
          </w:tcPr>
          <w:p w14:paraId="0A446607">
            <w:pPr>
              <w:widowControl/>
              <w:spacing w:line="240" w:lineRule="auto"/>
              <w:jc w:val="center"/>
              <w:rPr>
                <w:rFonts w:hint="eastAsia" w:ascii="宋体" w:hAnsi="宋体" w:cs="宋体"/>
                <w:color w:val="000000"/>
                <w:kern w:val="0"/>
                <w:szCs w:val="21"/>
              </w:rPr>
            </w:pPr>
            <w:r>
              <w:rPr>
                <w:rFonts w:hint="eastAsia" w:ascii="宋体" w:hAnsi="宋体" w:cs="宋体"/>
                <w:color w:val="000000"/>
                <w:kern w:val="0"/>
                <w:szCs w:val="21"/>
              </w:rPr>
              <w:t>2只</w:t>
            </w:r>
          </w:p>
        </w:tc>
        <w:tc>
          <w:tcPr>
            <w:tcW w:w="544" w:type="pct"/>
            <w:noWrap w:val="0"/>
            <w:vAlign w:val="center"/>
          </w:tcPr>
          <w:p w14:paraId="30AA909C">
            <w:pPr>
              <w:widowControl/>
              <w:spacing w:line="240" w:lineRule="auto"/>
              <w:jc w:val="center"/>
              <w:rPr>
                <w:rFonts w:hint="eastAsia" w:ascii="宋体" w:hAnsi="宋体" w:cs="宋体"/>
                <w:color w:val="000000"/>
                <w:kern w:val="0"/>
                <w:szCs w:val="21"/>
              </w:rPr>
            </w:pPr>
          </w:p>
        </w:tc>
        <w:tc>
          <w:tcPr>
            <w:tcW w:w="582" w:type="pct"/>
            <w:noWrap w:val="0"/>
            <w:vAlign w:val="center"/>
          </w:tcPr>
          <w:p w14:paraId="5FBAC572">
            <w:pPr>
              <w:widowControl/>
              <w:spacing w:line="240" w:lineRule="auto"/>
              <w:jc w:val="center"/>
              <w:rPr>
                <w:rFonts w:hint="eastAsia" w:ascii="宋体" w:hAnsi="宋体" w:cs="宋体"/>
                <w:color w:val="000000"/>
                <w:kern w:val="0"/>
                <w:szCs w:val="21"/>
              </w:rPr>
            </w:pPr>
          </w:p>
        </w:tc>
      </w:tr>
      <w:tr w14:paraId="731583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447D2F0">
            <w:pPr>
              <w:widowControl/>
              <w:snapToGrid w:val="0"/>
              <w:spacing w:line="240" w:lineRule="auto"/>
              <w:jc w:val="center"/>
              <w:rPr>
                <w:rFonts w:ascii="宋体" w:hAnsi="宋体" w:cs="宋体"/>
                <w:bCs/>
                <w:szCs w:val="21"/>
              </w:rPr>
            </w:pPr>
            <w:r>
              <w:rPr>
                <w:rFonts w:hint="eastAsia" w:ascii="宋体" w:hAnsi="宋体" w:cs="宋体"/>
                <w:bCs/>
                <w:szCs w:val="21"/>
              </w:rPr>
              <w:t>17</w:t>
            </w:r>
          </w:p>
        </w:tc>
        <w:tc>
          <w:tcPr>
            <w:tcW w:w="564" w:type="pct"/>
            <w:shd w:val="clear" w:color="auto" w:fill="FFFFFF"/>
            <w:noWrap w:val="0"/>
            <w:vAlign w:val="top"/>
          </w:tcPr>
          <w:p w14:paraId="3D38A4A9">
            <w:pPr>
              <w:spacing w:line="240" w:lineRule="auto"/>
              <w:rPr>
                <w:rFonts w:hint="eastAsia"/>
              </w:rPr>
            </w:pPr>
            <w:r>
              <w:rPr>
                <w:rFonts w:hint="eastAsia"/>
              </w:rPr>
              <w:t>线阵列低音音箱功放</w:t>
            </w:r>
          </w:p>
        </w:tc>
        <w:tc>
          <w:tcPr>
            <w:tcW w:w="2625" w:type="pct"/>
            <w:shd w:val="clear" w:color="auto" w:fill="FFFFFF"/>
            <w:noWrap w:val="0"/>
            <w:vAlign w:val="center"/>
          </w:tcPr>
          <w:p w14:paraId="518FEBC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1、专业铝合金型材面板，1U高度设计；</w:t>
            </w:r>
          </w:p>
          <w:p w14:paraId="6484C2E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2、D类数字功率放大器； </w:t>
            </w:r>
          </w:p>
          <w:p w14:paraId="537DA4A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3、具有开机电源软启动功能、短路、过载、直流、过热保护、变压器过热保护和DC漂移等多重检测保护性能；</w:t>
            </w:r>
          </w:p>
          <w:p w14:paraId="737D12B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4、两个XLR孔形卡侬输入插座，两个XLR孔形卡侬信号并接插座，两个SPEAKON输出快装接口，一个网络控制接口RJ45，一个RS-485控制接口；</w:t>
            </w:r>
          </w:p>
          <w:p w14:paraId="7F2A34C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5、具有低通功能；提供第三方有权检测机构出具的具有CMA或CNAS标识检测报告影印件或扫描件；</w:t>
            </w:r>
          </w:p>
          <w:p w14:paraId="13CB762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6、输出功率：2X700W/8Ω；</w:t>
            </w:r>
          </w:p>
          <w:p w14:paraId="3E58573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7、频率响应：20Hz—20KHz±1dB；</w:t>
            </w:r>
          </w:p>
          <w:p w14:paraId="6013A2C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8、总谐波失真：THD≤0.1%（10%额定输出功率，1KHz）；</w:t>
            </w:r>
          </w:p>
          <w:p w14:paraId="4B61DC0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9、输入灵敏度：0dBu(775mV)；</w:t>
            </w:r>
          </w:p>
          <w:p w14:paraId="5395E78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10、输入阻抗：平衡20KΩ，不平衡10KΩ；</w:t>
            </w:r>
          </w:p>
          <w:p w14:paraId="4184FDC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11、信噪比（A计权）：≥100dB；</w:t>
            </w:r>
          </w:p>
          <w:p w14:paraId="5974297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12、电压适应范围：AC～110-240V/50-60Hz；</w:t>
            </w:r>
          </w:p>
          <w:p w14:paraId="72F2456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13、产品经过1500V AC（10mA）下冲击60s无损坏耐压测试；</w:t>
            </w:r>
          </w:p>
          <w:p w14:paraId="13E0FCC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14、阻尼系数：≥250；（实际597）</w:t>
            </w:r>
          </w:p>
          <w:p w14:paraId="01C26C7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15、工作模式：立体声、桥接、并接；</w:t>
            </w:r>
          </w:p>
          <w:p w14:paraId="4452255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16、完整的LED工作状态指示灯（电源、信号、削峰、保护、网络）；</w:t>
            </w:r>
          </w:p>
        </w:tc>
        <w:tc>
          <w:tcPr>
            <w:tcW w:w="320" w:type="pct"/>
            <w:noWrap w:val="0"/>
            <w:vAlign w:val="center"/>
          </w:tcPr>
          <w:p w14:paraId="4582C015">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2台</w:t>
            </w:r>
          </w:p>
        </w:tc>
        <w:tc>
          <w:tcPr>
            <w:tcW w:w="544" w:type="pct"/>
            <w:noWrap w:val="0"/>
            <w:vAlign w:val="center"/>
          </w:tcPr>
          <w:p w14:paraId="37B60402">
            <w:pPr>
              <w:widowControl/>
              <w:spacing w:line="240" w:lineRule="auto"/>
              <w:jc w:val="center"/>
              <w:rPr>
                <w:rFonts w:hint="eastAsia" w:ascii="宋体" w:hAnsi="宋体" w:cs="宋体"/>
                <w:color w:val="000000"/>
                <w:kern w:val="0"/>
                <w:szCs w:val="21"/>
              </w:rPr>
            </w:pPr>
          </w:p>
        </w:tc>
        <w:tc>
          <w:tcPr>
            <w:tcW w:w="582" w:type="pct"/>
            <w:noWrap w:val="0"/>
            <w:vAlign w:val="center"/>
          </w:tcPr>
          <w:p w14:paraId="5F0A82A5">
            <w:pPr>
              <w:widowControl/>
              <w:spacing w:line="240" w:lineRule="auto"/>
              <w:jc w:val="center"/>
              <w:rPr>
                <w:rFonts w:hint="eastAsia" w:ascii="宋体" w:hAnsi="宋体" w:cs="宋体"/>
                <w:color w:val="000000"/>
                <w:kern w:val="0"/>
                <w:szCs w:val="21"/>
              </w:rPr>
            </w:pPr>
          </w:p>
        </w:tc>
      </w:tr>
      <w:tr w14:paraId="2A19B4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1AEFECC2">
            <w:pPr>
              <w:widowControl/>
              <w:snapToGrid w:val="0"/>
              <w:spacing w:line="240" w:lineRule="auto"/>
              <w:jc w:val="center"/>
              <w:rPr>
                <w:rFonts w:hint="eastAsia" w:ascii="宋体" w:hAnsi="宋体" w:cs="宋体"/>
                <w:bCs/>
                <w:szCs w:val="21"/>
              </w:rPr>
            </w:pPr>
            <w:r>
              <w:rPr>
                <w:rFonts w:hint="eastAsia" w:ascii="宋体" w:hAnsi="宋体" w:cs="宋体"/>
                <w:bCs/>
                <w:szCs w:val="21"/>
              </w:rPr>
              <w:t>18</w:t>
            </w:r>
          </w:p>
        </w:tc>
        <w:tc>
          <w:tcPr>
            <w:tcW w:w="564" w:type="pct"/>
            <w:shd w:val="clear" w:color="auto" w:fill="FFFFFF"/>
            <w:noWrap w:val="0"/>
            <w:vAlign w:val="center"/>
          </w:tcPr>
          <w:p w14:paraId="1CB9D23F">
            <w:pPr>
              <w:spacing w:line="240" w:lineRule="auto"/>
              <w:jc w:val="center"/>
              <w:rPr>
                <w:rFonts w:hint="eastAsia"/>
              </w:rPr>
            </w:pPr>
            <w:r>
              <w:rPr>
                <w:rFonts w:hint="eastAsia"/>
              </w:rPr>
              <w:t>返听音箱</w:t>
            </w:r>
          </w:p>
        </w:tc>
        <w:tc>
          <w:tcPr>
            <w:tcW w:w="2625" w:type="pct"/>
            <w:shd w:val="clear" w:color="auto" w:fill="FFFFFF"/>
            <w:noWrap w:val="0"/>
            <w:vAlign w:val="center"/>
          </w:tcPr>
          <w:p w14:paraId="698D6E5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1、额定功率（RMS）/额定功率（AES）：160W/200 W ；</w:t>
            </w:r>
          </w:p>
          <w:p w14:paraId="226C0C5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2、额定阻抗： 8Ωx80%；</w:t>
            </w:r>
          </w:p>
          <w:p w14:paraId="051CB3D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3、指定频带内的特性灵敏度：96dB±2dB； </w:t>
            </w:r>
          </w:p>
          <w:p w14:paraId="0F9B97C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4、连续声压级： 118 dB ±2dB ；</w:t>
            </w:r>
          </w:p>
          <w:p w14:paraId="2C0BBB0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5、最大声压级： 124dB±2dB ； </w:t>
            </w:r>
          </w:p>
          <w:p w14:paraId="0998B81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6、额定频率范围 : 65Hz ～ 18kHz； </w:t>
            </w:r>
          </w:p>
          <w:p w14:paraId="5E7DB18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xml:space="preserve">7、覆盖角度（H×V）： 90º×60º； </w:t>
            </w:r>
          </w:p>
          <w:p w14:paraId="3FF7F45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8、扬声器单元： LF:8″×1 ； HF:1″×1；</w:t>
            </w:r>
          </w:p>
        </w:tc>
        <w:tc>
          <w:tcPr>
            <w:tcW w:w="320" w:type="pct"/>
            <w:noWrap w:val="0"/>
            <w:vAlign w:val="center"/>
          </w:tcPr>
          <w:p w14:paraId="1F4C66C1">
            <w:pPr>
              <w:widowControl/>
              <w:spacing w:line="240" w:lineRule="auto"/>
              <w:jc w:val="center"/>
              <w:rPr>
                <w:rFonts w:hint="eastAsia" w:ascii="宋体" w:hAnsi="宋体" w:cs="宋体"/>
                <w:color w:val="000000"/>
                <w:kern w:val="0"/>
                <w:szCs w:val="21"/>
              </w:rPr>
            </w:pPr>
            <w:r>
              <w:rPr>
                <w:rFonts w:hint="eastAsia" w:ascii="宋体" w:hAnsi="宋体" w:cs="宋体"/>
                <w:color w:val="000000"/>
                <w:kern w:val="0"/>
                <w:szCs w:val="21"/>
              </w:rPr>
              <w:t>4只</w:t>
            </w:r>
          </w:p>
        </w:tc>
        <w:tc>
          <w:tcPr>
            <w:tcW w:w="544" w:type="pct"/>
            <w:noWrap w:val="0"/>
            <w:vAlign w:val="center"/>
          </w:tcPr>
          <w:p w14:paraId="68055083">
            <w:pPr>
              <w:widowControl/>
              <w:spacing w:line="240" w:lineRule="auto"/>
              <w:jc w:val="center"/>
              <w:rPr>
                <w:rFonts w:hint="eastAsia" w:ascii="宋体" w:hAnsi="宋体" w:cs="宋体"/>
                <w:color w:val="000000"/>
                <w:kern w:val="0"/>
                <w:szCs w:val="21"/>
              </w:rPr>
            </w:pPr>
          </w:p>
        </w:tc>
        <w:tc>
          <w:tcPr>
            <w:tcW w:w="582" w:type="pct"/>
            <w:noWrap w:val="0"/>
            <w:vAlign w:val="center"/>
          </w:tcPr>
          <w:p w14:paraId="041A762D">
            <w:pPr>
              <w:widowControl/>
              <w:spacing w:line="240" w:lineRule="auto"/>
              <w:jc w:val="center"/>
              <w:rPr>
                <w:rFonts w:hint="eastAsia" w:ascii="宋体" w:hAnsi="宋体" w:cs="宋体"/>
                <w:color w:val="000000"/>
                <w:kern w:val="0"/>
                <w:szCs w:val="21"/>
              </w:rPr>
            </w:pPr>
          </w:p>
        </w:tc>
      </w:tr>
      <w:tr w14:paraId="7398F1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12ED86D">
            <w:pPr>
              <w:widowControl/>
              <w:snapToGrid w:val="0"/>
              <w:spacing w:line="240" w:lineRule="auto"/>
              <w:jc w:val="center"/>
              <w:rPr>
                <w:rFonts w:hint="eastAsia" w:ascii="宋体" w:hAnsi="宋体" w:cs="宋体"/>
                <w:bCs/>
                <w:szCs w:val="21"/>
              </w:rPr>
            </w:pPr>
            <w:r>
              <w:rPr>
                <w:rFonts w:hint="eastAsia" w:ascii="宋体" w:hAnsi="宋体" w:cs="宋体"/>
                <w:bCs/>
                <w:szCs w:val="21"/>
              </w:rPr>
              <w:t>19</w:t>
            </w:r>
          </w:p>
        </w:tc>
        <w:tc>
          <w:tcPr>
            <w:tcW w:w="564" w:type="pct"/>
            <w:shd w:val="clear" w:color="auto" w:fill="FFFFFF"/>
            <w:noWrap w:val="0"/>
            <w:vAlign w:val="center"/>
          </w:tcPr>
          <w:p w14:paraId="0CE7DDF4">
            <w:pPr>
              <w:widowControl/>
              <w:snapToGrid w:val="0"/>
              <w:spacing w:line="240" w:lineRule="auto"/>
              <w:jc w:val="center"/>
              <w:rPr>
                <w:rFonts w:hint="eastAsia" w:ascii="宋体" w:hAnsi="宋体" w:cs="宋体"/>
                <w:bCs/>
                <w:szCs w:val="21"/>
              </w:rPr>
            </w:pPr>
            <w:r>
              <w:rPr>
                <w:rFonts w:hint="eastAsia" w:ascii="宋体" w:hAnsi="宋体" w:cs="宋体"/>
                <w:bCs/>
                <w:szCs w:val="21"/>
              </w:rPr>
              <w:t>数字调音台</w:t>
            </w:r>
          </w:p>
        </w:tc>
        <w:tc>
          <w:tcPr>
            <w:tcW w:w="2625" w:type="pct"/>
            <w:shd w:val="clear" w:color="auto" w:fill="FFFFFF"/>
            <w:noWrap w:val="0"/>
            <w:vAlign w:val="center"/>
          </w:tcPr>
          <w:p w14:paraId="5D2858F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1、12路话筒/线路（COMBO XLR孔型卡侬接口，兼容1/4〃 TRS插座），2组立体声(RCA插座）；</w:t>
            </w:r>
          </w:p>
          <w:p w14:paraId="40905D5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2、2路主输出（XLR卡侬公座），6路编组输出（XLR卡侬公座），1组立体声辅助输出（1/4〃 TRS插座），1组立体声耳机输出（1/4〃 TRS插座）；</w:t>
            </w:r>
          </w:p>
          <w:p w14:paraId="30F8CC3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3、7寸电容触摸屏1024x600分辨率；</w:t>
            </w:r>
          </w:p>
          <w:p w14:paraId="3BD4E1B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4、9个100mm电动推子；</w:t>
            </w:r>
          </w:p>
          <w:p w14:paraId="0ECE463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5、中英文界面随时切换无需重启；</w:t>
            </w:r>
          </w:p>
          <w:p w14:paraId="37589F11">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6、整机31个按键：参数编辑区6个（主页、场景、播放/暂停、效果、电平表、设置，各一个），通道控制区18个（哑音9个、通道选择9个），快捷键4个（系统哑音1个、自定义快捷键3个），通道层选择3个；</w:t>
            </w:r>
          </w:p>
          <w:p w14:paraId="614034D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7、整机旋钮7个：压限器控制3个（增益、阈值、压限值，各一个），参量均衡控制3个（频率/带宽、增益/带宽、Q值，各一个），参数编辑1个；</w:t>
            </w:r>
          </w:p>
          <w:p w14:paraId="7D098C8C">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8、RJ45网口：1个，USB接口：1个，SR-232接口：1个；</w:t>
            </w:r>
          </w:p>
          <w:p w14:paraId="09938EC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9、内置USB录音、放音功能，USB播放器可以识别中文歌曲名；</w:t>
            </w:r>
          </w:p>
          <w:p w14:paraId="37CBFFC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10、内置12个通道独立的反馈抑制器、集成音箱管理器；</w:t>
            </w:r>
          </w:p>
          <w:p w14:paraId="78C0EA1B">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11、具有增益共享型自动混音（AMM）；</w:t>
            </w:r>
          </w:p>
          <w:p w14:paraId="5409BAB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12、支持RS-232、TCP/IP协议，便于第三方中控控制；</w:t>
            </w:r>
          </w:p>
          <w:p w14:paraId="003FE310">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13、带2个DCA分组；</w:t>
            </w:r>
          </w:p>
          <w:p w14:paraId="1BF15E8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14、支持PC端、Android端、IOS端控制（iPad触摸屏全功能控制，实时数据同步）；</w:t>
            </w:r>
          </w:p>
          <w:p w14:paraId="56B9DE17">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15、内置1个效果器模块，可任意分配输入、输出，效果器有3段PEQ，高低通可调节；</w:t>
            </w:r>
          </w:p>
          <w:p w14:paraId="00894B2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16、可通过网络或者U盘进行系统升级；</w:t>
            </w:r>
          </w:p>
          <w:p w14:paraId="50782F2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17、每个输入通道具有4段参量均衡、噪声门、反馈抑制器、高低通、压缩、反相；</w:t>
            </w:r>
          </w:p>
          <w:p w14:paraId="2CC3233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18、每个输出通道具有8段参量均衡、高低通、压缩、反相；</w:t>
            </w:r>
          </w:p>
          <w:p w14:paraId="28DC79EF">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19、6个BUS和2个AUX混音总线可选择推子前、推子后（PRE/POST）；</w:t>
            </w:r>
          </w:p>
          <w:p w14:paraId="5D06991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20、支持100组场景预设功能，可从USB存储器或电脑导出、导入，便于数据备份；</w:t>
            </w:r>
          </w:p>
          <w:p w14:paraId="38C4616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21、PEQ模式单机支持100个独立存储，其支持PEQ数据单独的导入导出；</w:t>
            </w:r>
          </w:p>
          <w:p w14:paraId="0B337ED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22、内置信号发生器：正弦波、粉红噪声、白噪声；</w:t>
            </w:r>
          </w:p>
          <w:p w14:paraId="06937D86">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23、通道参数拷贝功能，相同的通道快速复制数据；</w:t>
            </w:r>
          </w:p>
          <w:p w14:paraId="1FA59CE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24、接线方式：平衡式输入、输出卡侬</w:t>
            </w:r>
          </w:p>
          <w:p w14:paraId="384C3544">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25、8个推子编组、1个总静音、3个自定义按钮（可设置为通道静音及静音编组、调用场景、临时锁）；</w:t>
            </w:r>
          </w:p>
          <w:p w14:paraId="01D5DDD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26、支持多个终端同时控制</w:t>
            </w:r>
          </w:p>
        </w:tc>
        <w:tc>
          <w:tcPr>
            <w:tcW w:w="320" w:type="pct"/>
            <w:noWrap w:val="0"/>
            <w:vAlign w:val="center"/>
          </w:tcPr>
          <w:p w14:paraId="2123E0A9">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c>
          <w:tcPr>
            <w:tcW w:w="544" w:type="pct"/>
            <w:noWrap w:val="0"/>
            <w:vAlign w:val="center"/>
          </w:tcPr>
          <w:p w14:paraId="63A295CD">
            <w:pPr>
              <w:widowControl/>
              <w:spacing w:line="240" w:lineRule="auto"/>
              <w:jc w:val="center"/>
              <w:rPr>
                <w:rFonts w:hint="eastAsia" w:ascii="宋体" w:hAnsi="宋体" w:cs="宋体"/>
                <w:color w:val="000000"/>
                <w:kern w:val="0"/>
                <w:szCs w:val="21"/>
              </w:rPr>
            </w:pPr>
          </w:p>
        </w:tc>
        <w:tc>
          <w:tcPr>
            <w:tcW w:w="582" w:type="pct"/>
            <w:noWrap w:val="0"/>
            <w:vAlign w:val="center"/>
          </w:tcPr>
          <w:p w14:paraId="33988B74">
            <w:pPr>
              <w:widowControl/>
              <w:spacing w:line="240" w:lineRule="auto"/>
              <w:jc w:val="center"/>
              <w:rPr>
                <w:rFonts w:hint="eastAsia" w:ascii="宋体" w:hAnsi="宋体" w:cs="宋体"/>
                <w:color w:val="000000"/>
                <w:kern w:val="0"/>
                <w:szCs w:val="21"/>
              </w:rPr>
            </w:pPr>
          </w:p>
        </w:tc>
      </w:tr>
      <w:tr w14:paraId="4A82F8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26BED078">
            <w:pPr>
              <w:widowControl/>
              <w:snapToGrid w:val="0"/>
              <w:spacing w:line="240" w:lineRule="auto"/>
              <w:jc w:val="center"/>
              <w:rPr>
                <w:rFonts w:hint="eastAsia" w:ascii="宋体" w:hAnsi="宋体" w:cs="宋体"/>
                <w:bCs/>
                <w:szCs w:val="21"/>
              </w:rPr>
            </w:pPr>
            <w:r>
              <w:rPr>
                <w:rFonts w:hint="eastAsia" w:ascii="宋体" w:hAnsi="宋体" w:cs="宋体"/>
                <w:bCs/>
                <w:szCs w:val="21"/>
              </w:rPr>
              <w:t>20</w:t>
            </w:r>
          </w:p>
        </w:tc>
        <w:tc>
          <w:tcPr>
            <w:tcW w:w="564" w:type="pct"/>
            <w:shd w:val="clear" w:color="auto" w:fill="FFFFFF"/>
            <w:noWrap w:val="0"/>
            <w:vAlign w:val="top"/>
          </w:tcPr>
          <w:p w14:paraId="5C2ABF2D">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625" w:type="pct"/>
            <w:shd w:val="clear" w:color="auto" w:fill="FFFFFF"/>
            <w:noWrap w:val="0"/>
            <w:vAlign w:val="center"/>
          </w:tcPr>
          <w:p w14:paraId="71B2568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100寸</w:t>
            </w:r>
          </w:p>
        </w:tc>
        <w:tc>
          <w:tcPr>
            <w:tcW w:w="320" w:type="pct"/>
            <w:noWrap w:val="0"/>
            <w:vAlign w:val="center"/>
          </w:tcPr>
          <w:p w14:paraId="1516093A">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c>
          <w:tcPr>
            <w:tcW w:w="544" w:type="pct"/>
            <w:noWrap w:val="0"/>
            <w:vAlign w:val="center"/>
          </w:tcPr>
          <w:p w14:paraId="721986B6">
            <w:pPr>
              <w:widowControl/>
              <w:spacing w:line="240" w:lineRule="auto"/>
              <w:jc w:val="center"/>
              <w:rPr>
                <w:rFonts w:hint="eastAsia" w:ascii="宋体" w:hAnsi="宋体" w:cs="宋体"/>
                <w:color w:val="000000"/>
                <w:kern w:val="0"/>
                <w:szCs w:val="21"/>
              </w:rPr>
            </w:pPr>
          </w:p>
        </w:tc>
        <w:tc>
          <w:tcPr>
            <w:tcW w:w="582" w:type="pct"/>
            <w:noWrap w:val="0"/>
            <w:vAlign w:val="center"/>
          </w:tcPr>
          <w:p w14:paraId="421883B9">
            <w:pPr>
              <w:widowControl/>
              <w:spacing w:line="240" w:lineRule="auto"/>
              <w:jc w:val="center"/>
              <w:rPr>
                <w:rFonts w:hint="eastAsia" w:ascii="宋体" w:hAnsi="宋体" w:cs="宋体"/>
                <w:color w:val="000000"/>
                <w:kern w:val="0"/>
                <w:szCs w:val="21"/>
              </w:rPr>
            </w:pPr>
          </w:p>
        </w:tc>
      </w:tr>
      <w:tr w14:paraId="31E7C7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79AF5180">
            <w:pPr>
              <w:widowControl/>
              <w:snapToGrid w:val="0"/>
              <w:spacing w:line="240" w:lineRule="auto"/>
              <w:jc w:val="center"/>
              <w:rPr>
                <w:rFonts w:hint="eastAsia" w:ascii="宋体" w:hAnsi="宋体" w:cs="宋体"/>
                <w:bCs/>
                <w:szCs w:val="21"/>
              </w:rPr>
            </w:pPr>
            <w:r>
              <w:rPr>
                <w:rFonts w:hint="eastAsia" w:ascii="宋体" w:hAnsi="宋体" w:cs="宋体"/>
                <w:bCs/>
                <w:szCs w:val="21"/>
              </w:rPr>
              <w:t>21</w:t>
            </w:r>
          </w:p>
        </w:tc>
        <w:tc>
          <w:tcPr>
            <w:tcW w:w="564" w:type="pct"/>
            <w:shd w:val="clear" w:color="auto" w:fill="FFFFFF"/>
            <w:noWrap w:val="0"/>
            <w:vAlign w:val="top"/>
          </w:tcPr>
          <w:p w14:paraId="47DEE965">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625" w:type="pct"/>
            <w:shd w:val="clear" w:color="auto" w:fill="FFFFFF"/>
            <w:noWrap w:val="0"/>
            <w:vAlign w:val="center"/>
          </w:tcPr>
          <w:p w14:paraId="4D556FED">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85寸</w:t>
            </w:r>
          </w:p>
        </w:tc>
        <w:tc>
          <w:tcPr>
            <w:tcW w:w="320" w:type="pct"/>
            <w:noWrap w:val="0"/>
            <w:vAlign w:val="center"/>
          </w:tcPr>
          <w:p w14:paraId="361BBCAB">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c>
          <w:tcPr>
            <w:tcW w:w="544" w:type="pct"/>
            <w:noWrap w:val="0"/>
            <w:vAlign w:val="center"/>
          </w:tcPr>
          <w:p w14:paraId="4E077FE6">
            <w:pPr>
              <w:widowControl/>
              <w:spacing w:line="240" w:lineRule="auto"/>
              <w:jc w:val="center"/>
              <w:rPr>
                <w:rFonts w:hint="eastAsia" w:ascii="宋体" w:hAnsi="宋体" w:cs="宋体"/>
                <w:color w:val="000000"/>
                <w:kern w:val="0"/>
                <w:szCs w:val="21"/>
              </w:rPr>
            </w:pPr>
          </w:p>
        </w:tc>
        <w:tc>
          <w:tcPr>
            <w:tcW w:w="582" w:type="pct"/>
            <w:noWrap w:val="0"/>
            <w:vAlign w:val="center"/>
          </w:tcPr>
          <w:p w14:paraId="22A4371D">
            <w:pPr>
              <w:widowControl/>
              <w:spacing w:line="240" w:lineRule="auto"/>
              <w:jc w:val="center"/>
              <w:rPr>
                <w:rFonts w:hint="eastAsia" w:ascii="宋体" w:hAnsi="宋体" w:cs="宋体"/>
                <w:color w:val="000000"/>
                <w:kern w:val="0"/>
                <w:szCs w:val="21"/>
              </w:rPr>
            </w:pPr>
          </w:p>
        </w:tc>
      </w:tr>
      <w:tr w14:paraId="538F0B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0758EA0E">
            <w:pPr>
              <w:widowControl/>
              <w:snapToGrid w:val="0"/>
              <w:spacing w:line="240" w:lineRule="auto"/>
              <w:jc w:val="center"/>
              <w:rPr>
                <w:rFonts w:hint="eastAsia" w:ascii="宋体" w:hAnsi="宋体" w:cs="宋体"/>
                <w:bCs/>
                <w:szCs w:val="21"/>
              </w:rPr>
            </w:pPr>
            <w:r>
              <w:rPr>
                <w:rFonts w:hint="eastAsia" w:ascii="宋体" w:hAnsi="宋体" w:cs="宋体"/>
                <w:bCs/>
                <w:szCs w:val="21"/>
              </w:rPr>
              <w:t>22</w:t>
            </w:r>
          </w:p>
        </w:tc>
        <w:tc>
          <w:tcPr>
            <w:tcW w:w="564" w:type="pct"/>
            <w:shd w:val="clear" w:color="auto" w:fill="FFFFFF"/>
            <w:noWrap w:val="0"/>
            <w:vAlign w:val="top"/>
          </w:tcPr>
          <w:p w14:paraId="7CAAA46D">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625" w:type="pct"/>
            <w:shd w:val="clear" w:color="auto" w:fill="FFFFFF"/>
            <w:noWrap w:val="0"/>
            <w:vAlign w:val="center"/>
          </w:tcPr>
          <w:p w14:paraId="036A65EE">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75寸</w:t>
            </w:r>
          </w:p>
        </w:tc>
        <w:tc>
          <w:tcPr>
            <w:tcW w:w="320" w:type="pct"/>
            <w:noWrap w:val="0"/>
            <w:vAlign w:val="center"/>
          </w:tcPr>
          <w:p w14:paraId="73813D4F">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2台</w:t>
            </w:r>
          </w:p>
        </w:tc>
        <w:tc>
          <w:tcPr>
            <w:tcW w:w="544" w:type="pct"/>
            <w:noWrap w:val="0"/>
            <w:vAlign w:val="center"/>
          </w:tcPr>
          <w:p w14:paraId="4EAC9909">
            <w:pPr>
              <w:widowControl/>
              <w:spacing w:line="240" w:lineRule="auto"/>
              <w:jc w:val="center"/>
              <w:rPr>
                <w:rFonts w:hint="eastAsia" w:ascii="宋体" w:hAnsi="宋体" w:cs="宋体"/>
                <w:color w:val="000000"/>
                <w:kern w:val="0"/>
                <w:szCs w:val="21"/>
              </w:rPr>
            </w:pPr>
          </w:p>
        </w:tc>
        <w:tc>
          <w:tcPr>
            <w:tcW w:w="582" w:type="pct"/>
            <w:noWrap w:val="0"/>
            <w:vAlign w:val="center"/>
          </w:tcPr>
          <w:p w14:paraId="3F0915D4">
            <w:pPr>
              <w:widowControl/>
              <w:spacing w:line="240" w:lineRule="auto"/>
              <w:jc w:val="center"/>
              <w:rPr>
                <w:rFonts w:hint="eastAsia" w:ascii="宋体" w:hAnsi="宋体" w:cs="宋体"/>
                <w:color w:val="000000"/>
                <w:kern w:val="0"/>
                <w:szCs w:val="21"/>
              </w:rPr>
            </w:pPr>
          </w:p>
        </w:tc>
      </w:tr>
      <w:tr w14:paraId="720F6B3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771EDD7D">
            <w:pPr>
              <w:widowControl/>
              <w:snapToGrid w:val="0"/>
              <w:spacing w:line="240" w:lineRule="auto"/>
              <w:jc w:val="center"/>
              <w:rPr>
                <w:rFonts w:hint="eastAsia" w:ascii="宋体" w:hAnsi="宋体" w:cs="宋体"/>
                <w:bCs/>
                <w:szCs w:val="21"/>
              </w:rPr>
            </w:pPr>
            <w:r>
              <w:rPr>
                <w:rFonts w:hint="eastAsia" w:ascii="宋体" w:hAnsi="宋体" w:cs="宋体"/>
                <w:bCs/>
                <w:szCs w:val="21"/>
              </w:rPr>
              <w:t>23</w:t>
            </w:r>
          </w:p>
        </w:tc>
        <w:tc>
          <w:tcPr>
            <w:tcW w:w="564" w:type="pct"/>
            <w:shd w:val="clear" w:color="auto" w:fill="FFFFFF"/>
            <w:noWrap w:val="0"/>
            <w:vAlign w:val="top"/>
          </w:tcPr>
          <w:p w14:paraId="1E20EAD1">
            <w:pPr>
              <w:widowControl/>
              <w:snapToGrid w:val="0"/>
              <w:spacing w:line="240" w:lineRule="auto"/>
              <w:jc w:val="center"/>
              <w:rPr>
                <w:rFonts w:hint="eastAsia" w:ascii="宋体" w:hAnsi="宋体" w:cs="宋体"/>
                <w:bCs/>
                <w:szCs w:val="21"/>
              </w:rPr>
            </w:pPr>
            <w:r>
              <w:rPr>
                <w:rFonts w:hint="eastAsia" w:ascii="宋体" w:hAnsi="宋体" w:cs="宋体"/>
                <w:bCs/>
                <w:szCs w:val="21"/>
              </w:rPr>
              <w:t>电视</w:t>
            </w:r>
          </w:p>
        </w:tc>
        <w:tc>
          <w:tcPr>
            <w:tcW w:w="2625" w:type="pct"/>
            <w:shd w:val="clear" w:color="auto" w:fill="FFFFFF"/>
            <w:noWrap w:val="0"/>
            <w:vAlign w:val="center"/>
          </w:tcPr>
          <w:p w14:paraId="6D35BB53">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55寸</w:t>
            </w:r>
          </w:p>
        </w:tc>
        <w:tc>
          <w:tcPr>
            <w:tcW w:w="320" w:type="pct"/>
            <w:noWrap w:val="0"/>
            <w:vAlign w:val="center"/>
          </w:tcPr>
          <w:p w14:paraId="7F29A441">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1台</w:t>
            </w:r>
          </w:p>
        </w:tc>
        <w:tc>
          <w:tcPr>
            <w:tcW w:w="544" w:type="pct"/>
            <w:noWrap w:val="0"/>
            <w:vAlign w:val="center"/>
          </w:tcPr>
          <w:p w14:paraId="3B8436C0">
            <w:pPr>
              <w:widowControl/>
              <w:spacing w:line="240" w:lineRule="auto"/>
              <w:jc w:val="center"/>
              <w:rPr>
                <w:rFonts w:hint="eastAsia" w:ascii="宋体" w:hAnsi="宋体" w:cs="宋体"/>
                <w:color w:val="000000"/>
                <w:kern w:val="0"/>
                <w:szCs w:val="21"/>
              </w:rPr>
            </w:pPr>
          </w:p>
        </w:tc>
        <w:tc>
          <w:tcPr>
            <w:tcW w:w="582" w:type="pct"/>
            <w:noWrap w:val="0"/>
            <w:vAlign w:val="center"/>
          </w:tcPr>
          <w:p w14:paraId="6EDA515F">
            <w:pPr>
              <w:widowControl/>
              <w:spacing w:line="240" w:lineRule="auto"/>
              <w:jc w:val="center"/>
              <w:rPr>
                <w:rFonts w:hint="eastAsia" w:ascii="宋体" w:hAnsi="宋体" w:cs="宋体"/>
                <w:color w:val="000000"/>
                <w:kern w:val="0"/>
                <w:szCs w:val="21"/>
              </w:rPr>
            </w:pPr>
          </w:p>
        </w:tc>
      </w:tr>
      <w:tr w14:paraId="752091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9F1EE29">
            <w:pPr>
              <w:widowControl/>
              <w:snapToGrid w:val="0"/>
              <w:spacing w:line="240" w:lineRule="auto"/>
              <w:jc w:val="center"/>
              <w:rPr>
                <w:rFonts w:hint="eastAsia" w:ascii="宋体" w:hAnsi="宋体" w:cs="宋体"/>
                <w:bCs/>
                <w:szCs w:val="21"/>
              </w:rPr>
            </w:pPr>
            <w:r>
              <w:rPr>
                <w:rFonts w:hint="eastAsia" w:ascii="宋体" w:hAnsi="宋体" w:cs="宋体"/>
                <w:bCs/>
                <w:szCs w:val="21"/>
              </w:rPr>
              <w:t>24</w:t>
            </w:r>
          </w:p>
        </w:tc>
        <w:tc>
          <w:tcPr>
            <w:tcW w:w="564" w:type="pct"/>
            <w:shd w:val="clear" w:color="auto" w:fill="FFFFFF"/>
            <w:noWrap w:val="0"/>
            <w:vAlign w:val="top"/>
          </w:tcPr>
          <w:p w14:paraId="4C2F3CAB">
            <w:pPr>
              <w:widowControl/>
              <w:snapToGrid w:val="0"/>
              <w:spacing w:line="240" w:lineRule="auto"/>
              <w:jc w:val="center"/>
              <w:rPr>
                <w:rFonts w:hint="eastAsia" w:ascii="宋体" w:hAnsi="宋体" w:cs="宋体"/>
                <w:bCs/>
                <w:szCs w:val="21"/>
              </w:rPr>
            </w:pPr>
          </w:p>
          <w:p w14:paraId="64EEE658">
            <w:pPr>
              <w:widowControl/>
              <w:snapToGrid w:val="0"/>
              <w:spacing w:line="240" w:lineRule="auto"/>
              <w:jc w:val="center"/>
              <w:rPr>
                <w:rFonts w:hint="eastAsia" w:ascii="宋体" w:hAnsi="宋体" w:cs="宋体"/>
                <w:bCs/>
                <w:szCs w:val="21"/>
              </w:rPr>
            </w:pPr>
          </w:p>
          <w:p w14:paraId="39739454">
            <w:pPr>
              <w:widowControl/>
              <w:snapToGrid w:val="0"/>
              <w:spacing w:line="240" w:lineRule="auto"/>
              <w:jc w:val="center"/>
              <w:rPr>
                <w:rFonts w:hint="eastAsia" w:ascii="宋体" w:hAnsi="宋体" w:cs="宋体"/>
                <w:bCs/>
                <w:szCs w:val="21"/>
              </w:rPr>
            </w:pPr>
            <w:r>
              <w:rPr>
                <w:rFonts w:hint="eastAsia" w:ascii="宋体" w:hAnsi="宋体" w:cs="宋体"/>
                <w:bCs/>
                <w:szCs w:val="21"/>
              </w:rPr>
              <w:t>广播系统</w:t>
            </w:r>
          </w:p>
        </w:tc>
        <w:tc>
          <w:tcPr>
            <w:tcW w:w="2625" w:type="pct"/>
            <w:shd w:val="clear" w:color="auto" w:fill="FFFFFF"/>
            <w:noWrap w:val="0"/>
            <w:vAlign w:val="center"/>
          </w:tcPr>
          <w:p w14:paraId="12D14645">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广播系统包括功放1台、吸顶喇叭13台、IP话筒1只</w:t>
            </w:r>
          </w:p>
          <w:p w14:paraId="0C1FEE8A">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产品包含全套配件及辅材，包括运输、本体安装、现场规范移交对接培训和基本操作培训；含配套所有线材；包括一年内免费上门售后服务、技术指导费、差旅费等所有调试及售后服务费用的全部内容。</w:t>
            </w:r>
          </w:p>
        </w:tc>
        <w:tc>
          <w:tcPr>
            <w:tcW w:w="320" w:type="pct"/>
            <w:noWrap w:val="0"/>
            <w:vAlign w:val="center"/>
          </w:tcPr>
          <w:p w14:paraId="5453B7D8">
            <w:pPr>
              <w:widowControl/>
              <w:spacing w:line="240" w:lineRule="auto"/>
              <w:jc w:val="center"/>
              <w:rPr>
                <w:rFonts w:ascii="宋体" w:hAnsi="宋体" w:cs="宋体"/>
                <w:color w:val="000000"/>
                <w:kern w:val="0"/>
                <w:szCs w:val="21"/>
              </w:rPr>
            </w:pPr>
          </w:p>
        </w:tc>
        <w:tc>
          <w:tcPr>
            <w:tcW w:w="544" w:type="pct"/>
            <w:noWrap w:val="0"/>
            <w:vAlign w:val="center"/>
          </w:tcPr>
          <w:p w14:paraId="520435C7">
            <w:pPr>
              <w:widowControl/>
              <w:spacing w:line="240" w:lineRule="auto"/>
              <w:jc w:val="center"/>
              <w:rPr>
                <w:rFonts w:ascii="宋体" w:hAnsi="宋体" w:cs="宋体"/>
                <w:color w:val="000000"/>
                <w:kern w:val="0"/>
                <w:szCs w:val="21"/>
              </w:rPr>
            </w:pPr>
          </w:p>
        </w:tc>
        <w:tc>
          <w:tcPr>
            <w:tcW w:w="582" w:type="pct"/>
            <w:noWrap w:val="0"/>
            <w:vAlign w:val="center"/>
          </w:tcPr>
          <w:p w14:paraId="76AF9A56">
            <w:pPr>
              <w:widowControl/>
              <w:spacing w:line="240" w:lineRule="auto"/>
              <w:jc w:val="center"/>
              <w:rPr>
                <w:rFonts w:ascii="宋体" w:hAnsi="宋体" w:cs="宋体"/>
                <w:color w:val="000000"/>
                <w:kern w:val="0"/>
                <w:szCs w:val="21"/>
              </w:rPr>
            </w:pPr>
          </w:p>
        </w:tc>
      </w:tr>
      <w:tr w14:paraId="4A298D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4A0A165B">
            <w:pPr>
              <w:widowControl/>
              <w:snapToGrid w:val="0"/>
              <w:spacing w:line="240" w:lineRule="auto"/>
              <w:jc w:val="center"/>
              <w:rPr>
                <w:rFonts w:hint="eastAsia" w:ascii="宋体" w:hAnsi="宋体" w:cs="宋体"/>
                <w:bCs/>
                <w:szCs w:val="21"/>
              </w:rPr>
            </w:pPr>
            <w:r>
              <w:rPr>
                <w:rFonts w:hint="eastAsia" w:ascii="宋体" w:hAnsi="宋体" w:cs="宋体"/>
                <w:bCs/>
                <w:szCs w:val="21"/>
              </w:rPr>
              <w:t>2</w:t>
            </w:r>
            <w:r>
              <w:rPr>
                <w:rFonts w:ascii="宋体" w:hAnsi="宋体" w:cs="宋体"/>
                <w:bCs/>
                <w:szCs w:val="21"/>
              </w:rPr>
              <w:t>5</w:t>
            </w:r>
          </w:p>
        </w:tc>
        <w:tc>
          <w:tcPr>
            <w:tcW w:w="564" w:type="pct"/>
            <w:shd w:val="clear" w:color="auto" w:fill="FFFFFF"/>
            <w:noWrap w:val="0"/>
            <w:vAlign w:val="center"/>
          </w:tcPr>
          <w:p w14:paraId="5F186D3E">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无线覆盖系统</w:t>
            </w:r>
          </w:p>
        </w:tc>
        <w:tc>
          <w:tcPr>
            <w:tcW w:w="2625" w:type="pct"/>
            <w:shd w:val="clear" w:color="auto" w:fill="FFFFFF"/>
            <w:noWrap w:val="0"/>
            <w:vAlign w:val="center"/>
          </w:tcPr>
          <w:p w14:paraId="42B47B42">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无线覆盖系统包括安全网关1台、24口千兆POE交换机1台、千兆WiFi6 AP 23台。</w:t>
            </w:r>
          </w:p>
          <w:p w14:paraId="7BC97DD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产品包全套配件及辅材，包括运输、本体安装、现场规范移交对接培训和基本操作培训；含配套所有线材；包括一年内免费上门售后服务、技术指导费、差旅费等所有调试及售后服务费用的全部内容。</w:t>
            </w:r>
          </w:p>
        </w:tc>
        <w:tc>
          <w:tcPr>
            <w:tcW w:w="320" w:type="pct"/>
            <w:noWrap w:val="0"/>
            <w:vAlign w:val="center"/>
          </w:tcPr>
          <w:p w14:paraId="0ECCB0FD">
            <w:pPr>
              <w:widowControl/>
              <w:spacing w:line="240" w:lineRule="auto"/>
              <w:jc w:val="center"/>
              <w:rPr>
                <w:rFonts w:ascii="宋体" w:hAnsi="宋体" w:cs="宋体"/>
                <w:color w:val="000000"/>
                <w:kern w:val="0"/>
                <w:szCs w:val="21"/>
              </w:rPr>
            </w:pPr>
          </w:p>
        </w:tc>
        <w:tc>
          <w:tcPr>
            <w:tcW w:w="544" w:type="pct"/>
            <w:noWrap w:val="0"/>
            <w:vAlign w:val="center"/>
          </w:tcPr>
          <w:p w14:paraId="15E23418">
            <w:pPr>
              <w:widowControl/>
              <w:spacing w:line="240" w:lineRule="auto"/>
              <w:jc w:val="center"/>
              <w:rPr>
                <w:rFonts w:ascii="宋体" w:hAnsi="宋体" w:cs="宋体"/>
                <w:color w:val="000000"/>
                <w:kern w:val="0"/>
                <w:szCs w:val="21"/>
              </w:rPr>
            </w:pPr>
          </w:p>
        </w:tc>
        <w:tc>
          <w:tcPr>
            <w:tcW w:w="582" w:type="pct"/>
            <w:noWrap w:val="0"/>
            <w:vAlign w:val="center"/>
          </w:tcPr>
          <w:p w14:paraId="18F574AD">
            <w:pPr>
              <w:widowControl/>
              <w:spacing w:line="240" w:lineRule="auto"/>
              <w:jc w:val="center"/>
              <w:rPr>
                <w:rFonts w:ascii="宋体" w:hAnsi="宋体" w:cs="宋体"/>
                <w:color w:val="000000"/>
                <w:kern w:val="0"/>
                <w:szCs w:val="21"/>
              </w:rPr>
            </w:pPr>
          </w:p>
        </w:tc>
      </w:tr>
      <w:tr w14:paraId="6D4EC3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63" w:type="pct"/>
            <w:shd w:val="clear" w:color="auto" w:fill="auto"/>
            <w:noWrap w:val="0"/>
            <w:vAlign w:val="center"/>
          </w:tcPr>
          <w:p w14:paraId="0A449C7C">
            <w:pPr>
              <w:widowControl/>
              <w:snapToGrid w:val="0"/>
              <w:spacing w:line="240" w:lineRule="auto"/>
              <w:jc w:val="center"/>
              <w:rPr>
                <w:rFonts w:hint="eastAsia" w:ascii="宋体" w:hAnsi="宋体" w:cs="宋体"/>
                <w:bCs/>
                <w:szCs w:val="21"/>
              </w:rPr>
            </w:pPr>
            <w:r>
              <w:rPr>
                <w:rFonts w:hint="eastAsia" w:ascii="宋体" w:hAnsi="宋体" w:cs="宋体"/>
                <w:bCs/>
                <w:szCs w:val="21"/>
              </w:rPr>
              <w:t>2</w:t>
            </w:r>
            <w:r>
              <w:rPr>
                <w:rFonts w:ascii="宋体" w:hAnsi="宋体" w:cs="宋体"/>
                <w:bCs/>
                <w:szCs w:val="21"/>
              </w:rPr>
              <w:t>6</w:t>
            </w:r>
          </w:p>
        </w:tc>
        <w:tc>
          <w:tcPr>
            <w:tcW w:w="564" w:type="pct"/>
            <w:shd w:val="clear" w:color="auto" w:fill="FFFFFF"/>
            <w:noWrap w:val="0"/>
            <w:vAlign w:val="center"/>
          </w:tcPr>
          <w:p w14:paraId="1169BEB5">
            <w:pPr>
              <w:widowControl/>
              <w:spacing w:line="240" w:lineRule="auto"/>
              <w:jc w:val="center"/>
              <w:rPr>
                <w:rFonts w:ascii="宋体" w:hAnsi="宋体" w:cs="宋体"/>
                <w:color w:val="000000"/>
                <w:kern w:val="0"/>
                <w:szCs w:val="21"/>
              </w:rPr>
            </w:pPr>
            <w:r>
              <w:rPr>
                <w:rFonts w:hint="eastAsia" w:ascii="宋体" w:hAnsi="宋体" w:cs="宋体"/>
                <w:color w:val="000000"/>
                <w:kern w:val="0"/>
                <w:szCs w:val="21"/>
              </w:rPr>
              <w:t>展厅视频控制系统</w:t>
            </w:r>
          </w:p>
        </w:tc>
        <w:tc>
          <w:tcPr>
            <w:tcW w:w="2625" w:type="pct"/>
            <w:shd w:val="clear" w:color="auto" w:fill="FFFFFF"/>
            <w:noWrap w:val="0"/>
            <w:vAlign w:val="center"/>
          </w:tcPr>
          <w:p w14:paraId="1B5243D8">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展厅视频控制系统包括显示屏播控服务器2台、4K播放盒1台、控制平板1台</w:t>
            </w:r>
          </w:p>
          <w:p w14:paraId="7F341AF9">
            <w:pPr>
              <w:widowControl/>
              <w:spacing w:line="240" w:lineRule="auto"/>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产品包全套配件及辅材，包括运输、本体安装、现场规范移交对接培训和基本操作培训；含配套所有线材；包括一年内免费上门售后服务、技术指导费、差旅费等所有调试及售后服务费用的全部内容。</w:t>
            </w:r>
          </w:p>
        </w:tc>
        <w:tc>
          <w:tcPr>
            <w:tcW w:w="320" w:type="pct"/>
            <w:noWrap w:val="0"/>
            <w:vAlign w:val="center"/>
          </w:tcPr>
          <w:p w14:paraId="3339DB3B">
            <w:pPr>
              <w:widowControl/>
              <w:spacing w:line="240" w:lineRule="auto"/>
              <w:jc w:val="center"/>
              <w:rPr>
                <w:rFonts w:ascii="宋体" w:hAnsi="宋体" w:cs="宋体"/>
                <w:color w:val="000000"/>
                <w:kern w:val="0"/>
                <w:szCs w:val="21"/>
              </w:rPr>
            </w:pPr>
          </w:p>
        </w:tc>
        <w:tc>
          <w:tcPr>
            <w:tcW w:w="544" w:type="pct"/>
            <w:noWrap w:val="0"/>
            <w:vAlign w:val="center"/>
          </w:tcPr>
          <w:p w14:paraId="3E01E58A">
            <w:pPr>
              <w:widowControl/>
              <w:spacing w:line="240" w:lineRule="auto"/>
              <w:jc w:val="center"/>
              <w:rPr>
                <w:rFonts w:ascii="宋体" w:hAnsi="宋体" w:cs="宋体"/>
                <w:color w:val="000000"/>
                <w:kern w:val="0"/>
                <w:szCs w:val="21"/>
              </w:rPr>
            </w:pPr>
          </w:p>
        </w:tc>
        <w:tc>
          <w:tcPr>
            <w:tcW w:w="582" w:type="pct"/>
            <w:noWrap w:val="0"/>
            <w:vAlign w:val="center"/>
          </w:tcPr>
          <w:p w14:paraId="5D854D27">
            <w:pPr>
              <w:widowControl/>
              <w:spacing w:line="240" w:lineRule="auto"/>
              <w:jc w:val="center"/>
              <w:rPr>
                <w:rFonts w:ascii="宋体" w:hAnsi="宋体" w:cs="宋体"/>
                <w:color w:val="000000"/>
                <w:kern w:val="0"/>
                <w:szCs w:val="21"/>
              </w:rPr>
            </w:pPr>
          </w:p>
        </w:tc>
      </w:tr>
    </w:tbl>
    <w:p w14:paraId="3F05B18A">
      <w:pPr>
        <w:rPr>
          <w:rFonts w:ascii="仿宋" w:hAnsi="仿宋" w:eastAsia="仿宋"/>
          <w:sz w:val="30"/>
          <w:szCs w:val="30"/>
        </w:rPr>
      </w:pPr>
    </w:p>
    <w:p w14:paraId="4EBB16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说明：</w:t>
      </w:r>
    </w:p>
    <w:p w14:paraId="35C586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1．本采购清单应与投标人须知、合同条款等文件结合起来查阅与理解。</w:t>
      </w:r>
    </w:p>
    <w:p w14:paraId="4D9E4F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2．除非合同另有规定，清单中综合单价和总价应包括了为实施和完成合同所需的设计费、制造费、材料费、税费、运输费、检测费、验收费、安装调试费</w:t>
      </w:r>
      <w:r>
        <w:rPr>
          <w:rFonts w:hint="eastAsia" w:ascii="宋体" w:hAnsi="宋体" w:eastAsia="宋体" w:cs="宋体"/>
          <w:kern w:val="0"/>
          <w:sz w:val="21"/>
          <w:szCs w:val="21"/>
        </w:rPr>
        <w:t>、保险费、</w:t>
      </w:r>
      <w:r>
        <w:rPr>
          <w:rFonts w:hint="eastAsia" w:ascii="宋体" w:hAnsi="宋体" w:eastAsia="宋体" w:cs="宋体"/>
          <w:sz w:val="21"/>
          <w:szCs w:val="21"/>
        </w:rPr>
        <w:t>等达到使用条件及质保期维护维修的一切费用，以及合同约定的所有责任、义务和一般风险。</w:t>
      </w:r>
    </w:p>
    <w:p w14:paraId="2CE502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3．采购清单中的各项费用货币单位均为人民币</w:t>
      </w:r>
      <w:r>
        <w:rPr>
          <w:rFonts w:hint="eastAsia" w:ascii="宋体" w:hAnsi="宋体" w:eastAsia="宋体" w:cs="宋体"/>
          <w:sz w:val="21"/>
          <w:szCs w:val="21"/>
          <w:lang w:eastAsia="zh-CN"/>
        </w:rPr>
        <w:t>（</w:t>
      </w:r>
      <w:r>
        <w:rPr>
          <w:rFonts w:hint="eastAsia" w:ascii="宋体" w:hAnsi="宋体" w:eastAsia="宋体" w:cs="宋体"/>
          <w:sz w:val="21"/>
          <w:szCs w:val="21"/>
        </w:rPr>
        <w:t>元</w:t>
      </w:r>
      <w:r>
        <w:rPr>
          <w:rFonts w:hint="eastAsia" w:ascii="宋体" w:hAnsi="宋体" w:eastAsia="宋体" w:cs="宋体"/>
          <w:sz w:val="21"/>
          <w:szCs w:val="21"/>
          <w:lang w:eastAsia="zh-CN"/>
        </w:rPr>
        <w:t>）</w:t>
      </w:r>
      <w:r>
        <w:rPr>
          <w:rFonts w:hint="eastAsia" w:ascii="宋体" w:hAnsi="宋体" w:eastAsia="宋体" w:cs="宋体"/>
          <w:sz w:val="21"/>
          <w:szCs w:val="21"/>
        </w:rPr>
        <w:t>。</w:t>
      </w:r>
    </w:p>
    <w:p w14:paraId="2E2A54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4．对于符合要求的报价文件，在签订合同协议书前，如发现报价单中有计算方面的算术差错，按采购文件规定修正。</w:t>
      </w:r>
    </w:p>
    <w:p w14:paraId="0386BD2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p>
    <w:p w14:paraId="43B980E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p>
    <w:p w14:paraId="4C33DB06">
      <w:pPr>
        <w:keepNext w:val="0"/>
        <w:keepLines w:val="0"/>
        <w:pageBreakBefore w:val="0"/>
        <w:widowControl w:val="0"/>
        <w:kinsoku/>
        <w:wordWrap/>
        <w:overflowPunct/>
        <w:topLinePunct w:val="0"/>
        <w:autoSpaceDE/>
        <w:autoSpaceDN/>
        <w:bidi w:val="0"/>
        <w:adjustRightInd/>
        <w:snapToGrid/>
        <w:spacing w:line="360" w:lineRule="auto"/>
        <w:ind w:firstLine="5040" w:firstLineChars="2400"/>
        <w:jc w:val="both"/>
        <w:textAlignment w:val="auto"/>
        <w:rPr>
          <w:rFonts w:hint="eastAsia" w:ascii="宋体" w:hAnsi="宋体" w:eastAsia="宋体" w:cs="宋体"/>
          <w:sz w:val="21"/>
          <w:szCs w:val="21"/>
        </w:rPr>
      </w:pPr>
      <w:r>
        <w:rPr>
          <w:rFonts w:hint="eastAsia" w:ascii="宋体" w:hAnsi="宋体" w:eastAsia="宋体" w:cs="宋体"/>
          <w:sz w:val="21"/>
          <w:szCs w:val="21"/>
        </w:rPr>
        <w:t>报价人（单位签章）：</w:t>
      </w:r>
    </w:p>
    <w:p w14:paraId="47A74F61">
      <w:pPr>
        <w:keepNext w:val="0"/>
        <w:keepLines w:val="0"/>
        <w:pageBreakBefore w:val="0"/>
        <w:widowControl w:val="0"/>
        <w:kinsoku/>
        <w:wordWrap/>
        <w:overflowPunct/>
        <w:topLinePunct w:val="0"/>
        <w:autoSpaceDE/>
        <w:autoSpaceDN/>
        <w:bidi w:val="0"/>
        <w:adjustRightInd/>
        <w:snapToGrid/>
        <w:spacing w:line="360" w:lineRule="auto"/>
        <w:ind w:firstLine="3570" w:firstLineChars="1700"/>
        <w:jc w:val="both"/>
        <w:textAlignment w:val="auto"/>
        <w:rPr>
          <w:rFonts w:hint="eastAsia" w:ascii="宋体" w:hAnsi="宋体" w:eastAsia="宋体" w:cs="宋体"/>
          <w:sz w:val="21"/>
          <w:szCs w:val="21"/>
        </w:rPr>
      </w:pPr>
      <w:r>
        <w:rPr>
          <w:rFonts w:hint="eastAsia" w:ascii="宋体" w:hAnsi="宋体" w:eastAsia="宋体" w:cs="宋体"/>
          <w:sz w:val="21"/>
          <w:szCs w:val="21"/>
        </w:rPr>
        <w:t>法定代表人或其委托代理人（签名）：</w:t>
      </w:r>
    </w:p>
    <w:p w14:paraId="21257AEF">
      <w:pPr>
        <w:keepNext w:val="0"/>
        <w:keepLines w:val="0"/>
        <w:pageBreakBefore w:val="0"/>
        <w:widowControl w:val="0"/>
        <w:kinsoku/>
        <w:wordWrap/>
        <w:overflowPunct/>
        <w:topLinePunct w:val="0"/>
        <w:autoSpaceDE/>
        <w:autoSpaceDN/>
        <w:bidi w:val="0"/>
        <w:adjustRightInd/>
        <w:snapToGrid/>
        <w:spacing w:line="360" w:lineRule="auto"/>
        <w:ind w:firstLine="6510" w:firstLineChars="3100"/>
        <w:jc w:val="both"/>
        <w:textAlignment w:val="auto"/>
        <w:rPr>
          <w:rFonts w:hint="eastAsia" w:ascii="宋体" w:hAnsi="宋体" w:eastAsia="宋体" w:cs="宋体"/>
          <w:sz w:val="21"/>
          <w:szCs w:val="21"/>
        </w:rPr>
      </w:pPr>
      <w:r>
        <w:rPr>
          <w:rFonts w:hint="eastAsia" w:ascii="宋体" w:hAnsi="宋体" w:eastAsia="宋体" w:cs="宋体"/>
          <w:sz w:val="21"/>
          <w:szCs w:val="21"/>
        </w:rPr>
        <w:t>日期：202</w:t>
      </w:r>
      <w:r>
        <w:rPr>
          <w:rFonts w:hint="eastAsia" w:ascii="宋体" w:hAnsi="宋体" w:eastAsia="宋体" w:cs="宋体"/>
          <w:sz w:val="21"/>
          <w:szCs w:val="21"/>
          <w:lang w:val="en-US" w:eastAsia="zh-CN"/>
        </w:rPr>
        <w:t>4</w:t>
      </w: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30752A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sectPr>
          <w:pgSz w:w="11906" w:h="16838"/>
          <w:pgMar w:top="1440" w:right="1274" w:bottom="1440" w:left="1276" w:header="851" w:footer="992" w:gutter="0"/>
          <w:cols w:space="425" w:num="1"/>
          <w:docGrid w:type="lines" w:linePitch="312" w:charSpace="0"/>
        </w:sectPr>
      </w:pPr>
    </w:p>
    <w:p w14:paraId="51A481B8">
      <w:pPr>
        <w:topLinePunct/>
        <w:spacing w:line="440" w:lineRule="exact"/>
        <w:jc w:val="center"/>
        <w:rPr>
          <w:rFonts w:ascii="Times New Roman" w:hAnsi="Times New Roman" w:eastAsia="黑体" w:cs="Times New Roman"/>
          <w:sz w:val="28"/>
          <w:szCs w:val="28"/>
        </w:rPr>
      </w:pPr>
      <w:bookmarkStart w:id="147" w:name="_Toc7738_WPSOffice_Level1"/>
      <w:bookmarkStart w:id="148" w:name="_Toc23545_WPSOffice_Level1"/>
      <w:bookmarkStart w:id="149" w:name="_Toc31445_WPSOffice_Level1"/>
      <w:bookmarkStart w:id="150" w:name="_Toc10436_WPSOffice_Level1"/>
      <w:bookmarkStart w:id="151" w:name="_Toc2281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2" w:name="_Toc2807_WPSOffice_Level2"/>
      <w:bookmarkStart w:id="153" w:name="_Toc27600_WPSOffice_Level2"/>
      <w:r>
        <w:rPr>
          <w:rFonts w:ascii="Times New Roman" w:hAnsi="Times New Roman" w:eastAsia="黑体" w:cs="Times New Roman"/>
          <w:sz w:val="28"/>
          <w:szCs w:val="28"/>
        </w:rPr>
        <w:t>供应商基本情况</w:t>
      </w:r>
      <w:bookmarkEnd w:id="147"/>
      <w:bookmarkEnd w:id="148"/>
      <w:bookmarkEnd w:id="149"/>
      <w:bookmarkEnd w:id="150"/>
      <w:bookmarkEnd w:id="151"/>
      <w:bookmarkEnd w:id="152"/>
      <w:bookmarkEnd w:id="153"/>
    </w:p>
    <w:p w14:paraId="14626F36">
      <w:pPr>
        <w:topLinePunct/>
        <w:spacing w:line="440" w:lineRule="exact"/>
        <w:jc w:val="center"/>
        <w:rPr>
          <w:rFonts w:ascii="Times New Roman" w:hAnsi="Times New Roman" w:cs="Times New Roman"/>
          <w:sz w:val="23"/>
          <w:szCs w:val="23"/>
        </w:rPr>
      </w:pPr>
    </w:p>
    <w:tbl>
      <w:tblPr>
        <w:tblStyle w:val="15"/>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0BC39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E2D3401">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37D9CE8">
            <w:pPr>
              <w:topLinePunct/>
              <w:spacing w:line="440" w:lineRule="exact"/>
              <w:jc w:val="center"/>
              <w:rPr>
                <w:rFonts w:ascii="Times New Roman" w:hAnsi="Times New Roman" w:cs="Times New Roman"/>
                <w:szCs w:val="21"/>
              </w:rPr>
            </w:pPr>
          </w:p>
        </w:tc>
      </w:tr>
      <w:tr w14:paraId="21044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3362F2">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F7638D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F156012">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5A9A42EB">
            <w:pPr>
              <w:topLinePunct/>
              <w:spacing w:line="440" w:lineRule="exact"/>
              <w:jc w:val="center"/>
              <w:rPr>
                <w:rFonts w:ascii="Times New Roman" w:hAnsi="Times New Roman" w:cs="Times New Roman"/>
                <w:szCs w:val="21"/>
              </w:rPr>
            </w:pPr>
          </w:p>
        </w:tc>
      </w:tr>
      <w:tr w14:paraId="3C0EF6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30D9859">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A3CFBCB">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F68A43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14EE811">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47ACD82">
            <w:pPr>
              <w:topLinePunct/>
              <w:spacing w:line="440" w:lineRule="exact"/>
              <w:jc w:val="center"/>
              <w:rPr>
                <w:rFonts w:ascii="Times New Roman" w:hAnsi="Times New Roman" w:cs="Times New Roman"/>
                <w:szCs w:val="21"/>
              </w:rPr>
            </w:pPr>
          </w:p>
        </w:tc>
      </w:tr>
      <w:tr w14:paraId="45A5D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EF0F0EC">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FE827A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1D5AC29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5CEECC0">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33022D63">
            <w:pPr>
              <w:topLinePunct/>
              <w:spacing w:line="440" w:lineRule="exact"/>
              <w:jc w:val="center"/>
              <w:rPr>
                <w:rFonts w:ascii="Times New Roman" w:hAnsi="Times New Roman" w:cs="Times New Roman"/>
                <w:szCs w:val="21"/>
              </w:rPr>
            </w:pPr>
          </w:p>
        </w:tc>
      </w:tr>
      <w:tr w14:paraId="1E432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6AAACEC">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27D3DB5">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7EA95D8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FDC54EA">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7DCEF125">
            <w:pPr>
              <w:topLinePunct/>
              <w:spacing w:line="440" w:lineRule="exact"/>
              <w:jc w:val="center"/>
              <w:rPr>
                <w:rFonts w:ascii="Times New Roman" w:hAnsi="Times New Roman" w:cs="Times New Roman"/>
                <w:szCs w:val="21"/>
              </w:rPr>
            </w:pPr>
          </w:p>
        </w:tc>
      </w:tr>
      <w:tr w14:paraId="28CFC9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7570A4">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3D7F1CB">
            <w:pPr>
              <w:topLinePunct/>
              <w:spacing w:line="440" w:lineRule="exact"/>
              <w:jc w:val="center"/>
              <w:rPr>
                <w:rFonts w:ascii="Times New Roman" w:hAnsi="Times New Roman" w:cs="Times New Roman"/>
                <w:szCs w:val="21"/>
              </w:rPr>
            </w:pPr>
          </w:p>
        </w:tc>
      </w:tr>
      <w:tr w14:paraId="19B94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623DDC0">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5883422">
            <w:pPr>
              <w:topLinePunct/>
              <w:spacing w:line="440" w:lineRule="exact"/>
              <w:rPr>
                <w:rFonts w:ascii="Times New Roman" w:hAnsi="Times New Roman" w:cs="Times New Roman"/>
                <w:szCs w:val="21"/>
              </w:rPr>
            </w:pPr>
          </w:p>
          <w:p w14:paraId="3ADBF6B7">
            <w:pPr>
              <w:topLinePunct/>
              <w:spacing w:line="440" w:lineRule="exact"/>
              <w:jc w:val="center"/>
              <w:rPr>
                <w:rFonts w:ascii="Times New Roman" w:hAnsi="Times New Roman" w:cs="Times New Roman"/>
                <w:szCs w:val="21"/>
              </w:rPr>
            </w:pPr>
          </w:p>
          <w:p w14:paraId="0CA59A4D">
            <w:pPr>
              <w:topLinePunct/>
              <w:spacing w:line="440" w:lineRule="exact"/>
              <w:rPr>
                <w:rFonts w:ascii="Times New Roman" w:hAnsi="Times New Roman" w:cs="Times New Roman"/>
                <w:szCs w:val="21"/>
              </w:rPr>
            </w:pPr>
          </w:p>
        </w:tc>
      </w:tr>
      <w:tr w14:paraId="22852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C91E3BA">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76999D8">
            <w:pPr>
              <w:topLinePunct/>
              <w:spacing w:line="440" w:lineRule="exact"/>
              <w:jc w:val="center"/>
              <w:rPr>
                <w:rFonts w:ascii="Times New Roman" w:hAnsi="Times New Roman" w:cs="Times New Roman"/>
                <w:szCs w:val="21"/>
              </w:rPr>
            </w:pPr>
          </w:p>
        </w:tc>
      </w:tr>
    </w:tbl>
    <w:p w14:paraId="6B6508B8">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55E6D2C">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07D6F6F2">
      <w:pPr>
        <w:widowControl/>
        <w:autoSpaceDE w:val="0"/>
        <w:autoSpaceDN w:val="0"/>
        <w:spacing w:line="360" w:lineRule="atLeast"/>
        <w:ind w:left="420" w:leftChars="200"/>
        <w:textAlignment w:val="bottom"/>
        <w:rPr>
          <w:rFonts w:ascii="Times New Roman" w:hAnsi="Times New Roman" w:eastAsia="黑体" w:cs="Times New Roman"/>
          <w:szCs w:val="21"/>
        </w:rPr>
      </w:pPr>
    </w:p>
    <w:p w14:paraId="17C2C60C">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6F2318DF">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4" w:name="_Toc19004_WPSOffice_Level1"/>
      <w:bookmarkStart w:id="155" w:name="_Toc5072_WPSOffice_Level1"/>
      <w:bookmarkStart w:id="156" w:name="_Toc3772_WPSOffice_Level1"/>
      <w:bookmarkStart w:id="157" w:name="_Toc18547_WPSOffice_Level1"/>
      <w:bookmarkStart w:id="158"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4"/>
      <w:bookmarkEnd w:id="155"/>
      <w:bookmarkEnd w:id="156"/>
      <w:bookmarkEnd w:id="157"/>
      <w:bookmarkEnd w:id="158"/>
    </w:p>
    <w:tbl>
      <w:tblPr>
        <w:tblStyle w:val="15"/>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B37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32E8DCD2">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1F0CEF77">
            <w:pPr>
              <w:topLinePunct/>
              <w:spacing w:line="440" w:lineRule="exact"/>
              <w:rPr>
                <w:rFonts w:ascii="Times New Roman" w:hAnsi="Times New Roman" w:cs="Times New Roman"/>
                <w:szCs w:val="21"/>
              </w:rPr>
            </w:pPr>
          </w:p>
        </w:tc>
      </w:tr>
      <w:tr w14:paraId="232A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39B76C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6B93D177">
            <w:pPr>
              <w:topLinePunct/>
              <w:spacing w:line="440" w:lineRule="exact"/>
              <w:rPr>
                <w:rFonts w:ascii="Times New Roman" w:hAnsi="Times New Roman" w:cs="Times New Roman"/>
                <w:szCs w:val="21"/>
              </w:rPr>
            </w:pPr>
          </w:p>
        </w:tc>
      </w:tr>
      <w:tr w14:paraId="6ADF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7D6D439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47DD7E56">
            <w:pPr>
              <w:topLinePunct/>
              <w:spacing w:line="440" w:lineRule="exact"/>
              <w:rPr>
                <w:rFonts w:ascii="Times New Roman" w:hAnsi="Times New Roman" w:cs="Times New Roman"/>
                <w:szCs w:val="21"/>
              </w:rPr>
            </w:pPr>
          </w:p>
        </w:tc>
      </w:tr>
      <w:tr w14:paraId="73B2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0A0718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5EF55776">
            <w:pPr>
              <w:topLinePunct/>
              <w:spacing w:line="440" w:lineRule="exact"/>
              <w:rPr>
                <w:rFonts w:ascii="Times New Roman" w:hAnsi="Times New Roman" w:cs="Times New Roman"/>
                <w:szCs w:val="21"/>
              </w:rPr>
            </w:pPr>
          </w:p>
        </w:tc>
      </w:tr>
      <w:tr w14:paraId="77DED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4D023D6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437F3409">
            <w:pPr>
              <w:topLinePunct/>
              <w:spacing w:line="440" w:lineRule="exact"/>
              <w:rPr>
                <w:rFonts w:ascii="Times New Roman" w:hAnsi="Times New Roman" w:cs="Times New Roman"/>
                <w:szCs w:val="21"/>
              </w:rPr>
            </w:pPr>
          </w:p>
        </w:tc>
      </w:tr>
      <w:tr w14:paraId="3176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7015550">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6E58B55C">
            <w:pPr>
              <w:topLinePunct/>
              <w:spacing w:line="440" w:lineRule="exact"/>
              <w:rPr>
                <w:rFonts w:ascii="Times New Roman" w:hAnsi="Times New Roman" w:cs="Times New Roman"/>
                <w:szCs w:val="21"/>
              </w:rPr>
            </w:pPr>
          </w:p>
        </w:tc>
      </w:tr>
      <w:tr w14:paraId="17DB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6D8351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453FF4B0">
            <w:pPr>
              <w:topLinePunct/>
              <w:spacing w:line="440" w:lineRule="exact"/>
              <w:rPr>
                <w:rFonts w:ascii="Times New Roman" w:hAnsi="Times New Roman" w:cs="Times New Roman"/>
                <w:szCs w:val="21"/>
              </w:rPr>
            </w:pPr>
          </w:p>
        </w:tc>
      </w:tr>
      <w:tr w14:paraId="7A41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00B8FD5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10E62491">
            <w:pPr>
              <w:topLinePunct/>
              <w:spacing w:line="440" w:lineRule="exact"/>
              <w:rPr>
                <w:rFonts w:ascii="Times New Roman" w:hAnsi="Times New Roman" w:cs="Times New Roman"/>
                <w:szCs w:val="21"/>
              </w:rPr>
            </w:pPr>
          </w:p>
        </w:tc>
      </w:tr>
      <w:tr w14:paraId="6D4D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E79DC5C">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5A0D7356">
            <w:pPr>
              <w:topLinePunct/>
              <w:spacing w:line="440" w:lineRule="exact"/>
              <w:rPr>
                <w:rFonts w:ascii="Times New Roman" w:hAnsi="Times New Roman" w:cs="Times New Roman"/>
                <w:szCs w:val="21"/>
              </w:rPr>
            </w:pPr>
          </w:p>
        </w:tc>
      </w:tr>
      <w:tr w14:paraId="18545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24BC2F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4E5A3CB7">
            <w:pPr>
              <w:topLinePunct/>
              <w:spacing w:line="440" w:lineRule="exact"/>
              <w:rPr>
                <w:rFonts w:ascii="Times New Roman" w:hAnsi="Times New Roman" w:cs="Times New Roman"/>
                <w:szCs w:val="21"/>
              </w:rPr>
            </w:pPr>
          </w:p>
        </w:tc>
      </w:tr>
    </w:tbl>
    <w:p w14:paraId="42C8A441">
      <w:pPr>
        <w:widowControl/>
        <w:autoSpaceDE w:val="0"/>
        <w:autoSpaceDN w:val="0"/>
        <w:spacing w:line="360" w:lineRule="atLeast"/>
        <w:textAlignment w:val="bottom"/>
        <w:rPr>
          <w:rFonts w:ascii="Times New Roman" w:hAnsi="Times New Roman" w:eastAsia="黑体" w:cs="Times New Roman"/>
          <w:sz w:val="20"/>
          <w:szCs w:val="20"/>
        </w:rPr>
      </w:pPr>
    </w:p>
    <w:p w14:paraId="2D8941E0">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E931238">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1C8C22BB">
      <w:pPr>
        <w:widowControl/>
        <w:autoSpaceDE w:val="0"/>
        <w:autoSpaceDN w:val="0"/>
        <w:spacing w:line="360" w:lineRule="atLeast"/>
        <w:ind w:left="420" w:leftChars="200"/>
        <w:textAlignment w:val="bottom"/>
        <w:rPr>
          <w:rFonts w:hint="eastAsia" w:ascii="Times New Roman" w:hAnsi="Times New Roman" w:eastAsia="黑体" w:cs="Times New Roman"/>
          <w:szCs w:val="21"/>
          <w:u w:val="single"/>
          <w:lang w:val="en-US" w:eastAsia="zh-CN"/>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w:t>
      </w:r>
      <w:r>
        <w:rPr>
          <w:rFonts w:hint="eastAsia" w:ascii="Times New Roman" w:hAnsi="Times New Roman" w:eastAsia="黑体" w:cs="Times New Roman"/>
          <w:szCs w:val="21"/>
          <w:u w:val="single"/>
          <w:lang w:val="en-US" w:eastAsia="zh-CN"/>
        </w:rPr>
        <w:t>无人机相关业绩</w:t>
      </w:r>
      <w:r>
        <w:rPr>
          <w:rFonts w:hint="eastAsia" w:ascii="Times New Roman" w:hAnsi="Times New Roman" w:eastAsia="黑体" w:cs="Times New Roman"/>
          <w:szCs w:val="21"/>
          <w:u w:val="single"/>
        </w:rPr>
        <w:t>合同</w:t>
      </w:r>
      <w:r>
        <w:rPr>
          <w:rFonts w:hint="eastAsia" w:ascii="Times New Roman" w:hAnsi="Times New Roman" w:eastAsia="黑体" w:cs="Times New Roman"/>
          <w:szCs w:val="21"/>
          <w:u w:val="single"/>
          <w:lang w:val="en-US" w:eastAsia="zh-CN"/>
        </w:rPr>
        <w:t>.</w:t>
      </w:r>
    </w:p>
    <w:p w14:paraId="62345E8B">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714F4A16">
      <w:pPr>
        <w:pStyle w:val="5"/>
        <w:rPr>
          <w:rFonts w:ascii="Times New Roman" w:hAnsi="Times New Roman"/>
        </w:rPr>
      </w:pPr>
    </w:p>
    <w:p w14:paraId="2C330511">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8233B99">
      <w:pPr>
        <w:tabs>
          <w:tab w:val="left" w:pos="3060"/>
        </w:tabs>
        <w:topLinePunct/>
        <w:spacing w:line="440" w:lineRule="exact"/>
        <w:jc w:val="center"/>
        <w:rPr>
          <w:rFonts w:ascii="Times New Roman" w:hAnsi="Times New Roman" w:eastAsia="黑体" w:cs="Times New Roman"/>
          <w:sz w:val="28"/>
          <w:szCs w:val="28"/>
        </w:rPr>
      </w:pPr>
      <w:bookmarkStart w:id="159" w:name="_Toc5403_WPSOffice_Level1"/>
      <w:bookmarkStart w:id="160" w:name="_Toc12019_WPSOffice_Level1"/>
      <w:bookmarkStart w:id="161" w:name="_Toc30712_WPSOffice_Level1"/>
      <w:bookmarkStart w:id="162" w:name="_Toc3893_WPSOffice_Level1"/>
      <w:bookmarkStart w:id="163"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9"/>
      <w:bookmarkEnd w:id="160"/>
      <w:bookmarkEnd w:id="161"/>
      <w:bookmarkEnd w:id="162"/>
      <w:bookmarkEnd w:id="163"/>
    </w:p>
    <w:p w14:paraId="563001F8">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F08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0BD5E00B">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01842DE8">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0DA46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5CD1748">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3A6A62BB">
            <w:pPr>
              <w:topLinePunct/>
              <w:spacing w:line="440" w:lineRule="exact"/>
              <w:rPr>
                <w:rFonts w:ascii="Times New Roman" w:hAnsi="Times New Roman" w:cs="Times New Roman"/>
                <w:bCs/>
                <w:szCs w:val="21"/>
              </w:rPr>
            </w:pPr>
          </w:p>
        </w:tc>
      </w:tr>
      <w:tr w14:paraId="1D7E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8FDA95B">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3BEF0288">
            <w:pPr>
              <w:topLinePunct/>
              <w:spacing w:line="440" w:lineRule="exact"/>
              <w:rPr>
                <w:rFonts w:ascii="Times New Roman" w:hAnsi="Times New Roman" w:cs="Times New Roman"/>
                <w:bCs/>
                <w:szCs w:val="21"/>
              </w:rPr>
            </w:pPr>
          </w:p>
        </w:tc>
      </w:tr>
      <w:tr w14:paraId="2BF8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1F49D8D">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74740475">
            <w:pPr>
              <w:topLinePunct/>
              <w:spacing w:line="440" w:lineRule="exact"/>
              <w:rPr>
                <w:rFonts w:ascii="Times New Roman" w:hAnsi="Times New Roman" w:cs="Times New Roman"/>
                <w:bCs/>
                <w:szCs w:val="21"/>
              </w:rPr>
            </w:pPr>
          </w:p>
        </w:tc>
      </w:tr>
      <w:tr w14:paraId="22EA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82E52F4">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C27AE35">
            <w:pPr>
              <w:topLinePunct/>
              <w:spacing w:line="440" w:lineRule="exact"/>
              <w:rPr>
                <w:rFonts w:ascii="Times New Roman" w:hAnsi="Times New Roman" w:cs="Times New Roman"/>
                <w:bCs/>
                <w:szCs w:val="21"/>
              </w:rPr>
            </w:pPr>
          </w:p>
        </w:tc>
      </w:tr>
      <w:tr w14:paraId="59E9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BD2C5AD">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52E4C0C2">
            <w:pPr>
              <w:topLinePunct/>
              <w:spacing w:line="440" w:lineRule="exact"/>
              <w:rPr>
                <w:rFonts w:ascii="Times New Roman" w:hAnsi="Times New Roman" w:cs="Times New Roman"/>
                <w:bCs/>
                <w:szCs w:val="21"/>
              </w:rPr>
            </w:pPr>
          </w:p>
        </w:tc>
      </w:tr>
      <w:tr w14:paraId="0116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3EE23DF">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2538B319">
            <w:pPr>
              <w:topLinePunct/>
              <w:spacing w:line="440" w:lineRule="exact"/>
              <w:rPr>
                <w:rFonts w:ascii="Times New Roman" w:hAnsi="Times New Roman" w:cs="Times New Roman"/>
                <w:bCs/>
                <w:szCs w:val="21"/>
              </w:rPr>
            </w:pPr>
          </w:p>
        </w:tc>
      </w:tr>
    </w:tbl>
    <w:p w14:paraId="7D926507">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1C305EC">
      <w:pPr>
        <w:pStyle w:val="5"/>
        <w:jc w:val="right"/>
        <w:rPr>
          <w:rFonts w:ascii="Times New Roman" w:hAnsi="Times New Roman" w:cs="Times New Roman"/>
          <w:sz w:val="24"/>
        </w:rPr>
      </w:pPr>
    </w:p>
    <w:p w14:paraId="24B3C7C2">
      <w:pPr>
        <w:spacing w:line="440" w:lineRule="exact"/>
        <w:jc w:val="righ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45F088C">
      <w:pPr>
        <w:pStyle w:val="5"/>
        <w:jc w:val="right"/>
        <w:rPr>
          <w:u w:val="single"/>
        </w:rPr>
      </w:pPr>
      <w:r>
        <w:rPr>
          <w:rFonts w:ascii="Times New Roman" w:hAnsi="Times New Roman" w:cs="Times New Roman"/>
          <w:sz w:val="24"/>
        </w:rPr>
        <w:t>年</w:t>
      </w:r>
      <w:r>
        <w:rPr>
          <w:rFonts w:hint="eastAsia" w:ascii="Times New Roman" w:hAnsi="Times New Roman" w:cs="Times New Roman"/>
          <w:sz w:val="24"/>
          <w:lang w:val="en-US" w:eastAsia="zh-CN"/>
        </w:rPr>
        <w:t xml:space="preserve">     </w:t>
      </w:r>
      <w:r>
        <w:rPr>
          <w:rFonts w:ascii="Times New Roman" w:hAnsi="Times New Roman" w:cs="Times New Roman"/>
          <w:sz w:val="24"/>
        </w:rPr>
        <w:t>月</w:t>
      </w:r>
      <w:r>
        <w:rPr>
          <w:rFonts w:hint="eastAsia" w:ascii="Times New Roman" w:hAnsi="Times New Roman" w:cs="Times New Roman"/>
          <w:sz w:val="24"/>
          <w:lang w:val="en-US" w:eastAsia="zh-CN"/>
        </w:rPr>
        <w:t xml:space="preserve">     </w:t>
      </w:r>
      <w:r>
        <w:rPr>
          <w:rFonts w:ascii="Times New Roman" w:hAnsi="Times New Roman" w:cs="Times New Roman"/>
          <w:sz w:val="24"/>
        </w:rPr>
        <w:t>日</w:t>
      </w:r>
    </w:p>
    <w:p w14:paraId="1F4FDF96">
      <w:pPr>
        <w:pStyle w:val="5"/>
      </w:pPr>
    </w:p>
    <w:p w14:paraId="58062EFC">
      <w:pPr>
        <w:pStyle w:val="5"/>
        <w:spacing w:line="440" w:lineRule="exact"/>
        <w:rPr>
          <w:rFonts w:ascii="Times New Roman" w:hAnsi="Times New Roman" w:cs="Times New Roman"/>
          <w:sz w:val="24"/>
        </w:rPr>
      </w:pPr>
    </w:p>
    <w:p w14:paraId="7F5C2D02">
      <w:pPr>
        <w:spacing w:line="400" w:lineRule="atLeast"/>
      </w:pPr>
    </w:p>
    <w:p w14:paraId="55CF0F15">
      <w:pPr>
        <w:pStyle w:val="5"/>
      </w:pPr>
    </w:p>
    <w:p w14:paraId="07D19BD9">
      <w:pPr>
        <w:pStyle w:val="5"/>
      </w:pPr>
    </w:p>
    <w:p w14:paraId="1289D5D2">
      <w:pPr>
        <w:pStyle w:val="5"/>
      </w:pPr>
    </w:p>
    <w:p w14:paraId="7BCB83DE">
      <w:pPr>
        <w:pStyle w:val="5"/>
      </w:pPr>
    </w:p>
    <w:p w14:paraId="6D2B7D27">
      <w:pPr>
        <w:pStyle w:val="5"/>
      </w:pPr>
    </w:p>
    <w:p w14:paraId="09DB44A5">
      <w:pPr>
        <w:pStyle w:val="5"/>
      </w:pPr>
    </w:p>
    <w:p w14:paraId="17260643">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5"/>
        <w:tblpPr w:leftFromText="180" w:rightFromText="180" w:vertAnchor="text" w:horzAnchor="page" w:tblpX="1377" w:tblpY="196"/>
        <w:tblOverlap w:val="never"/>
        <w:tblW w:w="938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4656"/>
        <w:gridCol w:w="1980"/>
        <w:gridCol w:w="1697"/>
      </w:tblGrid>
      <w:tr w14:paraId="521288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49" w:type="dxa"/>
            <w:tcBorders>
              <w:tl2br w:val="nil"/>
              <w:tr2bl w:val="nil"/>
            </w:tcBorders>
            <w:vAlign w:val="center"/>
          </w:tcPr>
          <w:p w14:paraId="59168D7B">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6B5CDD31">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2363A338">
            <w:pPr>
              <w:adjustRightInd w:val="0"/>
              <w:snapToGrid w:val="0"/>
              <w:ind w:firstLine="420" w:firstLineChars="200"/>
              <w:rPr>
                <w:rFonts w:ascii="宋体" w:hAnsi="宋体"/>
                <w:szCs w:val="21"/>
              </w:rPr>
            </w:pPr>
            <w:r>
              <w:rPr>
                <w:rFonts w:hint="eastAsia" w:ascii="宋体" w:hAnsi="宋体"/>
                <w:szCs w:val="21"/>
              </w:rPr>
              <w:t>卖 方 响 应</w:t>
            </w:r>
          </w:p>
        </w:tc>
        <w:tc>
          <w:tcPr>
            <w:tcW w:w="1697" w:type="dxa"/>
            <w:tcBorders>
              <w:tl2br w:val="nil"/>
              <w:tr2bl w:val="nil"/>
            </w:tcBorders>
            <w:vAlign w:val="center"/>
          </w:tcPr>
          <w:p w14:paraId="6914D0A6">
            <w:pPr>
              <w:adjustRightInd w:val="0"/>
              <w:snapToGrid w:val="0"/>
              <w:ind w:firstLine="210" w:firstLineChars="100"/>
              <w:jc w:val="center"/>
              <w:rPr>
                <w:rFonts w:ascii="宋体" w:hAnsi="宋体"/>
                <w:szCs w:val="21"/>
              </w:rPr>
            </w:pPr>
            <w:r>
              <w:rPr>
                <w:rFonts w:hint="eastAsia" w:ascii="宋体" w:hAnsi="宋体"/>
                <w:szCs w:val="21"/>
              </w:rPr>
              <w:t>偏 差</w:t>
            </w:r>
          </w:p>
        </w:tc>
      </w:tr>
      <w:tr w14:paraId="0D4C1E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049" w:type="dxa"/>
            <w:tcBorders>
              <w:tl2br w:val="nil"/>
              <w:tr2bl w:val="nil"/>
            </w:tcBorders>
          </w:tcPr>
          <w:p w14:paraId="6900B7FF">
            <w:pPr>
              <w:adjustRightInd w:val="0"/>
              <w:snapToGrid w:val="0"/>
              <w:jc w:val="left"/>
              <w:rPr>
                <w:rFonts w:ascii="宋体" w:hAnsi="宋体"/>
                <w:szCs w:val="21"/>
              </w:rPr>
            </w:pPr>
          </w:p>
        </w:tc>
        <w:tc>
          <w:tcPr>
            <w:tcW w:w="4656" w:type="dxa"/>
            <w:tcBorders>
              <w:tl2br w:val="nil"/>
              <w:tr2bl w:val="nil"/>
            </w:tcBorders>
          </w:tcPr>
          <w:p w14:paraId="1C3C5287">
            <w:pPr>
              <w:adjustRightInd w:val="0"/>
              <w:snapToGrid w:val="0"/>
              <w:jc w:val="left"/>
              <w:rPr>
                <w:rFonts w:ascii="宋体" w:hAnsi="宋体"/>
                <w:szCs w:val="21"/>
              </w:rPr>
            </w:pPr>
          </w:p>
        </w:tc>
        <w:tc>
          <w:tcPr>
            <w:tcW w:w="1980" w:type="dxa"/>
            <w:tcBorders>
              <w:tl2br w:val="nil"/>
              <w:tr2bl w:val="nil"/>
            </w:tcBorders>
          </w:tcPr>
          <w:p w14:paraId="5EB393B0">
            <w:pPr>
              <w:adjustRightInd w:val="0"/>
              <w:snapToGrid w:val="0"/>
              <w:jc w:val="left"/>
              <w:rPr>
                <w:rFonts w:ascii="宋体" w:hAnsi="宋体"/>
                <w:szCs w:val="21"/>
              </w:rPr>
            </w:pPr>
          </w:p>
        </w:tc>
        <w:tc>
          <w:tcPr>
            <w:tcW w:w="1697" w:type="dxa"/>
            <w:tcBorders>
              <w:tl2br w:val="nil"/>
              <w:tr2bl w:val="nil"/>
            </w:tcBorders>
          </w:tcPr>
          <w:p w14:paraId="78510728">
            <w:pPr>
              <w:adjustRightInd w:val="0"/>
              <w:snapToGrid w:val="0"/>
              <w:jc w:val="left"/>
              <w:rPr>
                <w:rFonts w:ascii="宋体" w:hAnsi="宋体"/>
                <w:szCs w:val="21"/>
              </w:rPr>
            </w:pPr>
          </w:p>
        </w:tc>
      </w:tr>
      <w:tr w14:paraId="023806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049" w:type="dxa"/>
            <w:tcBorders>
              <w:tl2br w:val="nil"/>
              <w:tr2bl w:val="nil"/>
            </w:tcBorders>
          </w:tcPr>
          <w:p w14:paraId="09B43F45">
            <w:pPr>
              <w:adjustRightInd w:val="0"/>
              <w:snapToGrid w:val="0"/>
              <w:jc w:val="left"/>
              <w:rPr>
                <w:rFonts w:ascii="宋体" w:hAnsi="宋体"/>
                <w:szCs w:val="21"/>
              </w:rPr>
            </w:pPr>
          </w:p>
        </w:tc>
        <w:tc>
          <w:tcPr>
            <w:tcW w:w="4656" w:type="dxa"/>
            <w:tcBorders>
              <w:tl2br w:val="nil"/>
              <w:tr2bl w:val="nil"/>
            </w:tcBorders>
          </w:tcPr>
          <w:p w14:paraId="2BEDD947">
            <w:pPr>
              <w:adjustRightInd w:val="0"/>
              <w:snapToGrid w:val="0"/>
              <w:jc w:val="left"/>
              <w:rPr>
                <w:rFonts w:ascii="宋体" w:hAnsi="宋体"/>
                <w:szCs w:val="21"/>
              </w:rPr>
            </w:pPr>
          </w:p>
        </w:tc>
        <w:tc>
          <w:tcPr>
            <w:tcW w:w="1980" w:type="dxa"/>
            <w:tcBorders>
              <w:tl2br w:val="nil"/>
              <w:tr2bl w:val="nil"/>
            </w:tcBorders>
          </w:tcPr>
          <w:p w14:paraId="70CD2A1E">
            <w:pPr>
              <w:adjustRightInd w:val="0"/>
              <w:snapToGrid w:val="0"/>
              <w:jc w:val="left"/>
              <w:rPr>
                <w:rFonts w:ascii="宋体" w:hAnsi="宋体"/>
                <w:szCs w:val="21"/>
              </w:rPr>
            </w:pPr>
          </w:p>
        </w:tc>
        <w:tc>
          <w:tcPr>
            <w:tcW w:w="1697" w:type="dxa"/>
            <w:tcBorders>
              <w:tl2br w:val="nil"/>
              <w:tr2bl w:val="nil"/>
            </w:tcBorders>
          </w:tcPr>
          <w:p w14:paraId="3811CCFB">
            <w:pPr>
              <w:adjustRightInd w:val="0"/>
              <w:snapToGrid w:val="0"/>
              <w:jc w:val="left"/>
              <w:rPr>
                <w:rFonts w:ascii="宋体" w:hAnsi="宋体"/>
                <w:szCs w:val="21"/>
              </w:rPr>
            </w:pPr>
          </w:p>
        </w:tc>
      </w:tr>
      <w:tr w14:paraId="5F8C0B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9" w:type="dxa"/>
            <w:tcBorders>
              <w:tl2br w:val="nil"/>
              <w:tr2bl w:val="nil"/>
            </w:tcBorders>
          </w:tcPr>
          <w:p w14:paraId="0100A1D2">
            <w:pPr>
              <w:adjustRightInd w:val="0"/>
              <w:snapToGrid w:val="0"/>
              <w:jc w:val="left"/>
              <w:rPr>
                <w:rFonts w:ascii="宋体" w:hAnsi="宋体"/>
                <w:szCs w:val="21"/>
              </w:rPr>
            </w:pPr>
          </w:p>
        </w:tc>
        <w:tc>
          <w:tcPr>
            <w:tcW w:w="4656" w:type="dxa"/>
            <w:tcBorders>
              <w:tl2br w:val="nil"/>
              <w:tr2bl w:val="nil"/>
            </w:tcBorders>
          </w:tcPr>
          <w:p w14:paraId="563C5EC8">
            <w:pPr>
              <w:adjustRightInd w:val="0"/>
              <w:snapToGrid w:val="0"/>
              <w:jc w:val="left"/>
              <w:rPr>
                <w:rFonts w:ascii="宋体" w:hAnsi="宋体"/>
                <w:szCs w:val="21"/>
              </w:rPr>
            </w:pPr>
          </w:p>
        </w:tc>
        <w:tc>
          <w:tcPr>
            <w:tcW w:w="1980" w:type="dxa"/>
            <w:tcBorders>
              <w:tl2br w:val="nil"/>
              <w:tr2bl w:val="nil"/>
            </w:tcBorders>
          </w:tcPr>
          <w:p w14:paraId="431DC505">
            <w:pPr>
              <w:adjustRightInd w:val="0"/>
              <w:snapToGrid w:val="0"/>
              <w:jc w:val="left"/>
              <w:rPr>
                <w:rFonts w:ascii="宋体" w:hAnsi="宋体"/>
                <w:szCs w:val="21"/>
              </w:rPr>
            </w:pPr>
          </w:p>
        </w:tc>
        <w:tc>
          <w:tcPr>
            <w:tcW w:w="1697" w:type="dxa"/>
            <w:tcBorders>
              <w:tl2br w:val="nil"/>
              <w:tr2bl w:val="nil"/>
            </w:tcBorders>
          </w:tcPr>
          <w:p w14:paraId="1419E89E">
            <w:pPr>
              <w:adjustRightInd w:val="0"/>
              <w:snapToGrid w:val="0"/>
              <w:jc w:val="left"/>
              <w:rPr>
                <w:rFonts w:ascii="宋体" w:hAnsi="宋体"/>
                <w:szCs w:val="21"/>
              </w:rPr>
            </w:pPr>
          </w:p>
        </w:tc>
      </w:tr>
      <w:tr w14:paraId="476494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49" w:type="dxa"/>
            <w:tcBorders>
              <w:tl2br w:val="nil"/>
              <w:tr2bl w:val="nil"/>
            </w:tcBorders>
          </w:tcPr>
          <w:p w14:paraId="00274A12">
            <w:pPr>
              <w:adjustRightInd w:val="0"/>
              <w:snapToGrid w:val="0"/>
              <w:jc w:val="left"/>
              <w:rPr>
                <w:rFonts w:ascii="宋体" w:hAnsi="宋体"/>
                <w:szCs w:val="21"/>
              </w:rPr>
            </w:pPr>
          </w:p>
        </w:tc>
        <w:tc>
          <w:tcPr>
            <w:tcW w:w="4656" w:type="dxa"/>
            <w:tcBorders>
              <w:tl2br w:val="nil"/>
              <w:tr2bl w:val="nil"/>
            </w:tcBorders>
          </w:tcPr>
          <w:p w14:paraId="5820FEBB">
            <w:pPr>
              <w:adjustRightInd w:val="0"/>
              <w:snapToGrid w:val="0"/>
              <w:jc w:val="left"/>
              <w:rPr>
                <w:rFonts w:ascii="宋体" w:hAnsi="宋体" w:eastAsia="宋体"/>
                <w:szCs w:val="21"/>
              </w:rPr>
            </w:pPr>
          </w:p>
        </w:tc>
        <w:tc>
          <w:tcPr>
            <w:tcW w:w="1980" w:type="dxa"/>
            <w:tcBorders>
              <w:tl2br w:val="nil"/>
              <w:tr2bl w:val="nil"/>
            </w:tcBorders>
          </w:tcPr>
          <w:p w14:paraId="569578C8">
            <w:pPr>
              <w:adjustRightInd w:val="0"/>
              <w:snapToGrid w:val="0"/>
              <w:jc w:val="left"/>
              <w:rPr>
                <w:rFonts w:ascii="宋体" w:hAnsi="宋体"/>
                <w:szCs w:val="21"/>
              </w:rPr>
            </w:pPr>
          </w:p>
        </w:tc>
        <w:tc>
          <w:tcPr>
            <w:tcW w:w="1697" w:type="dxa"/>
            <w:tcBorders>
              <w:tl2br w:val="nil"/>
              <w:tr2bl w:val="nil"/>
            </w:tcBorders>
          </w:tcPr>
          <w:p w14:paraId="0A3EFAFA">
            <w:pPr>
              <w:adjustRightInd w:val="0"/>
              <w:snapToGrid w:val="0"/>
              <w:jc w:val="left"/>
              <w:rPr>
                <w:rFonts w:ascii="宋体" w:hAnsi="宋体"/>
                <w:szCs w:val="21"/>
              </w:rPr>
            </w:pPr>
          </w:p>
        </w:tc>
      </w:tr>
      <w:tr w14:paraId="544456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1049" w:type="dxa"/>
            <w:tcBorders>
              <w:tl2br w:val="nil"/>
              <w:tr2bl w:val="nil"/>
            </w:tcBorders>
          </w:tcPr>
          <w:p w14:paraId="27BC25CE">
            <w:pPr>
              <w:adjustRightInd w:val="0"/>
              <w:snapToGrid w:val="0"/>
              <w:jc w:val="left"/>
              <w:rPr>
                <w:rFonts w:ascii="宋体" w:hAnsi="宋体"/>
                <w:szCs w:val="21"/>
              </w:rPr>
            </w:pPr>
          </w:p>
        </w:tc>
        <w:tc>
          <w:tcPr>
            <w:tcW w:w="4656" w:type="dxa"/>
            <w:tcBorders>
              <w:tl2br w:val="nil"/>
              <w:tr2bl w:val="nil"/>
            </w:tcBorders>
          </w:tcPr>
          <w:p w14:paraId="1AE50692">
            <w:pPr>
              <w:adjustRightInd w:val="0"/>
              <w:snapToGrid w:val="0"/>
              <w:jc w:val="left"/>
              <w:rPr>
                <w:rFonts w:ascii="宋体" w:hAnsi="宋体"/>
                <w:szCs w:val="21"/>
              </w:rPr>
            </w:pPr>
          </w:p>
        </w:tc>
        <w:tc>
          <w:tcPr>
            <w:tcW w:w="1980" w:type="dxa"/>
            <w:tcBorders>
              <w:tl2br w:val="nil"/>
              <w:tr2bl w:val="nil"/>
            </w:tcBorders>
          </w:tcPr>
          <w:p w14:paraId="0A8AC75E">
            <w:pPr>
              <w:adjustRightInd w:val="0"/>
              <w:snapToGrid w:val="0"/>
              <w:jc w:val="left"/>
              <w:rPr>
                <w:rFonts w:ascii="宋体" w:hAnsi="宋体"/>
                <w:szCs w:val="21"/>
              </w:rPr>
            </w:pPr>
          </w:p>
        </w:tc>
        <w:tc>
          <w:tcPr>
            <w:tcW w:w="1697" w:type="dxa"/>
            <w:tcBorders>
              <w:tl2br w:val="nil"/>
              <w:tr2bl w:val="nil"/>
            </w:tcBorders>
          </w:tcPr>
          <w:p w14:paraId="741C9326">
            <w:pPr>
              <w:adjustRightInd w:val="0"/>
              <w:snapToGrid w:val="0"/>
              <w:jc w:val="left"/>
              <w:rPr>
                <w:rFonts w:ascii="宋体" w:hAnsi="宋体"/>
                <w:szCs w:val="21"/>
              </w:rPr>
            </w:pPr>
          </w:p>
        </w:tc>
      </w:tr>
      <w:tr w14:paraId="4F73FE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049" w:type="dxa"/>
            <w:tcBorders>
              <w:tl2br w:val="nil"/>
              <w:tr2bl w:val="nil"/>
            </w:tcBorders>
          </w:tcPr>
          <w:p w14:paraId="5B153BF5">
            <w:pPr>
              <w:adjustRightInd w:val="0"/>
              <w:snapToGrid w:val="0"/>
              <w:jc w:val="left"/>
              <w:rPr>
                <w:rFonts w:ascii="宋体" w:hAnsi="宋体"/>
                <w:szCs w:val="21"/>
              </w:rPr>
            </w:pPr>
          </w:p>
        </w:tc>
        <w:tc>
          <w:tcPr>
            <w:tcW w:w="4656" w:type="dxa"/>
            <w:tcBorders>
              <w:tl2br w:val="nil"/>
              <w:tr2bl w:val="nil"/>
            </w:tcBorders>
          </w:tcPr>
          <w:p w14:paraId="621C8B95">
            <w:pPr>
              <w:adjustRightInd w:val="0"/>
              <w:snapToGrid w:val="0"/>
              <w:jc w:val="left"/>
              <w:rPr>
                <w:rFonts w:ascii="宋体" w:hAnsi="宋体"/>
                <w:szCs w:val="21"/>
              </w:rPr>
            </w:pPr>
          </w:p>
        </w:tc>
        <w:tc>
          <w:tcPr>
            <w:tcW w:w="1980" w:type="dxa"/>
            <w:tcBorders>
              <w:tl2br w:val="nil"/>
              <w:tr2bl w:val="nil"/>
            </w:tcBorders>
          </w:tcPr>
          <w:p w14:paraId="752D47FC">
            <w:pPr>
              <w:adjustRightInd w:val="0"/>
              <w:snapToGrid w:val="0"/>
              <w:jc w:val="left"/>
              <w:rPr>
                <w:rFonts w:ascii="宋体" w:hAnsi="宋体"/>
                <w:szCs w:val="21"/>
              </w:rPr>
            </w:pPr>
          </w:p>
        </w:tc>
        <w:tc>
          <w:tcPr>
            <w:tcW w:w="1697" w:type="dxa"/>
            <w:tcBorders>
              <w:tl2br w:val="nil"/>
              <w:tr2bl w:val="nil"/>
            </w:tcBorders>
          </w:tcPr>
          <w:p w14:paraId="0970204F">
            <w:pPr>
              <w:adjustRightInd w:val="0"/>
              <w:snapToGrid w:val="0"/>
              <w:jc w:val="left"/>
              <w:rPr>
                <w:rFonts w:ascii="宋体" w:hAnsi="宋体"/>
                <w:szCs w:val="21"/>
              </w:rPr>
            </w:pPr>
          </w:p>
        </w:tc>
      </w:tr>
      <w:tr w14:paraId="5ECCFE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049" w:type="dxa"/>
            <w:tcBorders>
              <w:tl2br w:val="nil"/>
              <w:tr2bl w:val="nil"/>
            </w:tcBorders>
          </w:tcPr>
          <w:p w14:paraId="1F1BF815">
            <w:pPr>
              <w:adjustRightInd w:val="0"/>
              <w:snapToGrid w:val="0"/>
              <w:jc w:val="left"/>
              <w:rPr>
                <w:rFonts w:ascii="宋体" w:hAnsi="宋体"/>
                <w:szCs w:val="21"/>
              </w:rPr>
            </w:pPr>
          </w:p>
        </w:tc>
        <w:tc>
          <w:tcPr>
            <w:tcW w:w="4656" w:type="dxa"/>
            <w:tcBorders>
              <w:tl2br w:val="nil"/>
              <w:tr2bl w:val="nil"/>
            </w:tcBorders>
          </w:tcPr>
          <w:p w14:paraId="3B73A949">
            <w:pPr>
              <w:adjustRightInd w:val="0"/>
              <w:snapToGrid w:val="0"/>
              <w:jc w:val="left"/>
              <w:rPr>
                <w:rFonts w:ascii="宋体" w:hAnsi="宋体"/>
                <w:szCs w:val="21"/>
              </w:rPr>
            </w:pPr>
          </w:p>
        </w:tc>
        <w:tc>
          <w:tcPr>
            <w:tcW w:w="1980" w:type="dxa"/>
            <w:tcBorders>
              <w:tl2br w:val="nil"/>
              <w:tr2bl w:val="nil"/>
            </w:tcBorders>
          </w:tcPr>
          <w:p w14:paraId="51AE7073">
            <w:pPr>
              <w:adjustRightInd w:val="0"/>
              <w:snapToGrid w:val="0"/>
              <w:jc w:val="left"/>
              <w:rPr>
                <w:rFonts w:ascii="宋体" w:hAnsi="宋体"/>
                <w:szCs w:val="21"/>
              </w:rPr>
            </w:pPr>
          </w:p>
        </w:tc>
        <w:tc>
          <w:tcPr>
            <w:tcW w:w="1697" w:type="dxa"/>
            <w:tcBorders>
              <w:tl2br w:val="nil"/>
              <w:tr2bl w:val="nil"/>
            </w:tcBorders>
          </w:tcPr>
          <w:p w14:paraId="0F3DAFD8">
            <w:pPr>
              <w:adjustRightInd w:val="0"/>
              <w:snapToGrid w:val="0"/>
              <w:jc w:val="left"/>
              <w:rPr>
                <w:rFonts w:ascii="宋体" w:hAnsi="宋体"/>
                <w:szCs w:val="21"/>
              </w:rPr>
            </w:pPr>
          </w:p>
        </w:tc>
      </w:tr>
      <w:tr w14:paraId="54F126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1049" w:type="dxa"/>
            <w:tcBorders>
              <w:tl2br w:val="nil"/>
              <w:tr2bl w:val="nil"/>
            </w:tcBorders>
          </w:tcPr>
          <w:p w14:paraId="06BEE0EE">
            <w:pPr>
              <w:adjustRightInd w:val="0"/>
              <w:snapToGrid w:val="0"/>
              <w:jc w:val="left"/>
              <w:rPr>
                <w:rFonts w:ascii="宋体" w:hAnsi="宋体"/>
                <w:szCs w:val="21"/>
              </w:rPr>
            </w:pPr>
          </w:p>
        </w:tc>
        <w:tc>
          <w:tcPr>
            <w:tcW w:w="4656" w:type="dxa"/>
            <w:tcBorders>
              <w:tl2br w:val="nil"/>
              <w:tr2bl w:val="nil"/>
            </w:tcBorders>
          </w:tcPr>
          <w:p w14:paraId="47B01E54">
            <w:pPr>
              <w:adjustRightInd w:val="0"/>
              <w:snapToGrid w:val="0"/>
              <w:jc w:val="left"/>
              <w:rPr>
                <w:rFonts w:ascii="宋体" w:hAnsi="宋体"/>
                <w:szCs w:val="21"/>
              </w:rPr>
            </w:pPr>
          </w:p>
        </w:tc>
        <w:tc>
          <w:tcPr>
            <w:tcW w:w="1980" w:type="dxa"/>
            <w:tcBorders>
              <w:tl2br w:val="nil"/>
              <w:tr2bl w:val="nil"/>
            </w:tcBorders>
          </w:tcPr>
          <w:p w14:paraId="1EB2CE77">
            <w:pPr>
              <w:adjustRightInd w:val="0"/>
              <w:snapToGrid w:val="0"/>
              <w:jc w:val="left"/>
              <w:rPr>
                <w:rFonts w:ascii="宋体" w:hAnsi="宋体"/>
                <w:szCs w:val="21"/>
              </w:rPr>
            </w:pPr>
          </w:p>
        </w:tc>
        <w:tc>
          <w:tcPr>
            <w:tcW w:w="1697" w:type="dxa"/>
            <w:tcBorders>
              <w:tl2br w:val="nil"/>
              <w:tr2bl w:val="nil"/>
            </w:tcBorders>
          </w:tcPr>
          <w:p w14:paraId="39AF7537">
            <w:pPr>
              <w:adjustRightInd w:val="0"/>
              <w:snapToGrid w:val="0"/>
              <w:jc w:val="left"/>
              <w:rPr>
                <w:rFonts w:ascii="宋体" w:hAnsi="宋体"/>
                <w:szCs w:val="21"/>
              </w:rPr>
            </w:pPr>
          </w:p>
        </w:tc>
      </w:tr>
      <w:tr w14:paraId="6FE4A7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1049" w:type="dxa"/>
            <w:tcBorders>
              <w:tl2br w:val="nil"/>
              <w:tr2bl w:val="nil"/>
            </w:tcBorders>
          </w:tcPr>
          <w:p w14:paraId="474CA8F9">
            <w:pPr>
              <w:adjustRightInd w:val="0"/>
              <w:snapToGrid w:val="0"/>
              <w:jc w:val="left"/>
              <w:rPr>
                <w:rFonts w:ascii="宋体" w:hAnsi="宋体"/>
                <w:szCs w:val="21"/>
              </w:rPr>
            </w:pPr>
          </w:p>
        </w:tc>
        <w:tc>
          <w:tcPr>
            <w:tcW w:w="4656" w:type="dxa"/>
            <w:tcBorders>
              <w:tl2br w:val="nil"/>
              <w:tr2bl w:val="nil"/>
            </w:tcBorders>
          </w:tcPr>
          <w:p w14:paraId="505E8D26">
            <w:pPr>
              <w:adjustRightInd w:val="0"/>
              <w:snapToGrid w:val="0"/>
              <w:jc w:val="left"/>
              <w:rPr>
                <w:rFonts w:ascii="宋体" w:hAnsi="宋体"/>
                <w:szCs w:val="21"/>
              </w:rPr>
            </w:pPr>
          </w:p>
        </w:tc>
        <w:tc>
          <w:tcPr>
            <w:tcW w:w="1980" w:type="dxa"/>
            <w:tcBorders>
              <w:tl2br w:val="nil"/>
              <w:tr2bl w:val="nil"/>
            </w:tcBorders>
          </w:tcPr>
          <w:p w14:paraId="560BF7D5">
            <w:pPr>
              <w:adjustRightInd w:val="0"/>
              <w:snapToGrid w:val="0"/>
              <w:jc w:val="left"/>
              <w:rPr>
                <w:rFonts w:ascii="宋体" w:hAnsi="宋体"/>
                <w:szCs w:val="21"/>
              </w:rPr>
            </w:pPr>
          </w:p>
        </w:tc>
        <w:tc>
          <w:tcPr>
            <w:tcW w:w="1697" w:type="dxa"/>
            <w:tcBorders>
              <w:tl2br w:val="nil"/>
              <w:tr2bl w:val="nil"/>
            </w:tcBorders>
          </w:tcPr>
          <w:p w14:paraId="42555ABE">
            <w:pPr>
              <w:adjustRightInd w:val="0"/>
              <w:snapToGrid w:val="0"/>
              <w:jc w:val="left"/>
              <w:rPr>
                <w:rFonts w:ascii="宋体" w:hAnsi="宋体"/>
                <w:szCs w:val="21"/>
              </w:rPr>
            </w:pPr>
          </w:p>
        </w:tc>
      </w:tr>
      <w:tr w14:paraId="4B81C0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049" w:type="dxa"/>
            <w:tcBorders>
              <w:tl2br w:val="nil"/>
              <w:tr2bl w:val="nil"/>
            </w:tcBorders>
          </w:tcPr>
          <w:p w14:paraId="4D4358B4">
            <w:pPr>
              <w:adjustRightInd w:val="0"/>
              <w:snapToGrid w:val="0"/>
              <w:jc w:val="left"/>
              <w:rPr>
                <w:rFonts w:ascii="宋体" w:hAnsi="宋体"/>
                <w:szCs w:val="21"/>
              </w:rPr>
            </w:pPr>
          </w:p>
        </w:tc>
        <w:tc>
          <w:tcPr>
            <w:tcW w:w="4656" w:type="dxa"/>
            <w:tcBorders>
              <w:tl2br w:val="nil"/>
              <w:tr2bl w:val="nil"/>
            </w:tcBorders>
          </w:tcPr>
          <w:p w14:paraId="2E33A41B">
            <w:pPr>
              <w:adjustRightInd w:val="0"/>
              <w:snapToGrid w:val="0"/>
              <w:jc w:val="left"/>
              <w:rPr>
                <w:rFonts w:ascii="宋体" w:hAnsi="宋体"/>
                <w:szCs w:val="21"/>
              </w:rPr>
            </w:pPr>
          </w:p>
        </w:tc>
        <w:tc>
          <w:tcPr>
            <w:tcW w:w="1980" w:type="dxa"/>
            <w:tcBorders>
              <w:tl2br w:val="nil"/>
              <w:tr2bl w:val="nil"/>
            </w:tcBorders>
          </w:tcPr>
          <w:p w14:paraId="7BC09EAF">
            <w:pPr>
              <w:adjustRightInd w:val="0"/>
              <w:snapToGrid w:val="0"/>
              <w:jc w:val="left"/>
              <w:rPr>
                <w:rFonts w:ascii="宋体" w:hAnsi="宋体"/>
                <w:szCs w:val="21"/>
              </w:rPr>
            </w:pPr>
          </w:p>
        </w:tc>
        <w:tc>
          <w:tcPr>
            <w:tcW w:w="1697" w:type="dxa"/>
            <w:tcBorders>
              <w:tl2br w:val="nil"/>
              <w:tr2bl w:val="nil"/>
            </w:tcBorders>
          </w:tcPr>
          <w:p w14:paraId="330E04BF">
            <w:pPr>
              <w:adjustRightInd w:val="0"/>
              <w:snapToGrid w:val="0"/>
              <w:jc w:val="left"/>
              <w:rPr>
                <w:rFonts w:ascii="宋体" w:hAnsi="宋体"/>
                <w:szCs w:val="21"/>
              </w:rPr>
            </w:pPr>
          </w:p>
        </w:tc>
      </w:tr>
      <w:tr w14:paraId="194463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049" w:type="dxa"/>
            <w:tcBorders>
              <w:tl2br w:val="nil"/>
              <w:tr2bl w:val="nil"/>
            </w:tcBorders>
          </w:tcPr>
          <w:p w14:paraId="21E9EBA8">
            <w:pPr>
              <w:adjustRightInd w:val="0"/>
              <w:snapToGrid w:val="0"/>
              <w:jc w:val="left"/>
              <w:rPr>
                <w:rFonts w:ascii="宋体" w:hAnsi="宋体"/>
                <w:szCs w:val="21"/>
              </w:rPr>
            </w:pPr>
          </w:p>
        </w:tc>
        <w:tc>
          <w:tcPr>
            <w:tcW w:w="4656" w:type="dxa"/>
            <w:tcBorders>
              <w:tl2br w:val="nil"/>
              <w:tr2bl w:val="nil"/>
            </w:tcBorders>
          </w:tcPr>
          <w:p w14:paraId="73B7571E">
            <w:pPr>
              <w:adjustRightInd w:val="0"/>
              <w:snapToGrid w:val="0"/>
              <w:jc w:val="left"/>
              <w:rPr>
                <w:rFonts w:ascii="宋体" w:hAnsi="宋体" w:eastAsia="宋体"/>
                <w:szCs w:val="21"/>
              </w:rPr>
            </w:pPr>
          </w:p>
        </w:tc>
        <w:tc>
          <w:tcPr>
            <w:tcW w:w="1980" w:type="dxa"/>
            <w:tcBorders>
              <w:tl2br w:val="nil"/>
              <w:tr2bl w:val="nil"/>
            </w:tcBorders>
          </w:tcPr>
          <w:p w14:paraId="70F26000">
            <w:pPr>
              <w:adjustRightInd w:val="0"/>
              <w:snapToGrid w:val="0"/>
              <w:jc w:val="left"/>
              <w:rPr>
                <w:rFonts w:ascii="宋体" w:hAnsi="宋体"/>
                <w:szCs w:val="21"/>
              </w:rPr>
            </w:pPr>
          </w:p>
        </w:tc>
        <w:tc>
          <w:tcPr>
            <w:tcW w:w="1697" w:type="dxa"/>
            <w:tcBorders>
              <w:tl2br w:val="nil"/>
              <w:tr2bl w:val="nil"/>
            </w:tcBorders>
          </w:tcPr>
          <w:p w14:paraId="64EAA9ED">
            <w:pPr>
              <w:adjustRightInd w:val="0"/>
              <w:snapToGrid w:val="0"/>
              <w:jc w:val="left"/>
              <w:rPr>
                <w:rFonts w:ascii="宋体" w:hAnsi="宋体"/>
                <w:szCs w:val="21"/>
              </w:rPr>
            </w:pPr>
          </w:p>
        </w:tc>
      </w:tr>
      <w:tr w14:paraId="50AEAD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1049" w:type="dxa"/>
            <w:tcBorders>
              <w:tl2br w:val="nil"/>
              <w:tr2bl w:val="nil"/>
            </w:tcBorders>
          </w:tcPr>
          <w:p w14:paraId="26BDCD95">
            <w:pPr>
              <w:adjustRightInd w:val="0"/>
              <w:snapToGrid w:val="0"/>
              <w:jc w:val="left"/>
              <w:rPr>
                <w:rFonts w:ascii="宋体" w:hAnsi="宋体"/>
                <w:szCs w:val="21"/>
              </w:rPr>
            </w:pPr>
          </w:p>
        </w:tc>
        <w:tc>
          <w:tcPr>
            <w:tcW w:w="4656" w:type="dxa"/>
            <w:tcBorders>
              <w:tl2br w:val="nil"/>
              <w:tr2bl w:val="nil"/>
            </w:tcBorders>
          </w:tcPr>
          <w:p w14:paraId="1B688738">
            <w:pPr>
              <w:adjustRightInd w:val="0"/>
              <w:snapToGrid w:val="0"/>
              <w:jc w:val="left"/>
              <w:rPr>
                <w:rFonts w:ascii="宋体" w:hAnsi="宋体"/>
                <w:szCs w:val="21"/>
              </w:rPr>
            </w:pPr>
          </w:p>
        </w:tc>
        <w:tc>
          <w:tcPr>
            <w:tcW w:w="1980" w:type="dxa"/>
            <w:tcBorders>
              <w:tl2br w:val="nil"/>
              <w:tr2bl w:val="nil"/>
            </w:tcBorders>
          </w:tcPr>
          <w:p w14:paraId="4C1F4307">
            <w:pPr>
              <w:adjustRightInd w:val="0"/>
              <w:snapToGrid w:val="0"/>
              <w:jc w:val="left"/>
              <w:rPr>
                <w:rFonts w:ascii="宋体" w:hAnsi="宋体"/>
                <w:szCs w:val="21"/>
              </w:rPr>
            </w:pPr>
          </w:p>
        </w:tc>
        <w:tc>
          <w:tcPr>
            <w:tcW w:w="1697" w:type="dxa"/>
            <w:tcBorders>
              <w:tl2br w:val="nil"/>
              <w:tr2bl w:val="nil"/>
            </w:tcBorders>
          </w:tcPr>
          <w:p w14:paraId="5475BA8F">
            <w:pPr>
              <w:adjustRightInd w:val="0"/>
              <w:snapToGrid w:val="0"/>
              <w:jc w:val="left"/>
              <w:rPr>
                <w:rFonts w:ascii="宋体" w:hAnsi="宋体"/>
                <w:szCs w:val="21"/>
              </w:rPr>
            </w:pPr>
          </w:p>
        </w:tc>
      </w:tr>
      <w:tr w14:paraId="6B3459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1049" w:type="dxa"/>
            <w:tcBorders>
              <w:tl2br w:val="nil"/>
              <w:tr2bl w:val="nil"/>
            </w:tcBorders>
          </w:tcPr>
          <w:p w14:paraId="03843516">
            <w:pPr>
              <w:adjustRightInd w:val="0"/>
              <w:snapToGrid w:val="0"/>
              <w:jc w:val="left"/>
              <w:rPr>
                <w:rFonts w:ascii="宋体" w:hAnsi="宋体"/>
                <w:szCs w:val="21"/>
              </w:rPr>
            </w:pPr>
          </w:p>
        </w:tc>
        <w:tc>
          <w:tcPr>
            <w:tcW w:w="4656" w:type="dxa"/>
            <w:tcBorders>
              <w:tl2br w:val="nil"/>
              <w:tr2bl w:val="nil"/>
            </w:tcBorders>
          </w:tcPr>
          <w:p w14:paraId="4767A369">
            <w:pPr>
              <w:adjustRightInd w:val="0"/>
              <w:snapToGrid w:val="0"/>
              <w:jc w:val="left"/>
              <w:rPr>
                <w:rFonts w:ascii="宋体" w:hAnsi="宋体"/>
                <w:szCs w:val="21"/>
              </w:rPr>
            </w:pPr>
          </w:p>
        </w:tc>
        <w:tc>
          <w:tcPr>
            <w:tcW w:w="1980" w:type="dxa"/>
            <w:tcBorders>
              <w:tl2br w:val="nil"/>
              <w:tr2bl w:val="nil"/>
            </w:tcBorders>
          </w:tcPr>
          <w:p w14:paraId="1E092F6F">
            <w:pPr>
              <w:adjustRightInd w:val="0"/>
              <w:snapToGrid w:val="0"/>
              <w:jc w:val="left"/>
              <w:rPr>
                <w:rFonts w:ascii="宋体" w:hAnsi="宋体"/>
                <w:szCs w:val="21"/>
              </w:rPr>
            </w:pPr>
          </w:p>
        </w:tc>
        <w:tc>
          <w:tcPr>
            <w:tcW w:w="1697" w:type="dxa"/>
            <w:tcBorders>
              <w:tl2br w:val="nil"/>
              <w:tr2bl w:val="nil"/>
            </w:tcBorders>
          </w:tcPr>
          <w:p w14:paraId="111100FC">
            <w:pPr>
              <w:adjustRightInd w:val="0"/>
              <w:snapToGrid w:val="0"/>
              <w:jc w:val="left"/>
              <w:rPr>
                <w:rFonts w:ascii="宋体" w:hAnsi="宋体"/>
                <w:szCs w:val="21"/>
              </w:rPr>
            </w:pPr>
          </w:p>
        </w:tc>
      </w:tr>
      <w:tr w14:paraId="6E6871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3AAFE673">
            <w:pPr>
              <w:adjustRightInd w:val="0"/>
              <w:snapToGrid w:val="0"/>
              <w:jc w:val="left"/>
              <w:rPr>
                <w:rFonts w:ascii="宋体" w:hAnsi="宋体"/>
                <w:szCs w:val="21"/>
              </w:rPr>
            </w:pPr>
          </w:p>
        </w:tc>
        <w:tc>
          <w:tcPr>
            <w:tcW w:w="4656" w:type="dxa"/>
            <w:tcBorders>
              <w:tl2br w:val="nil"/>
              <w:tr2bl w:val="nil"/>
            </w:tcBorders>
          </w:tcPr>
          <w:p w14:paraId="5BDFA109">
            <w:pPr>
              <w:adjustRightInd w:val="0"/>
              <w:snapToGrid w:val="0"/>
              <w:jc w:val="left"/>
              <w:rPr>
                <w:rFonts w:ascii="宋体" w:hAnsi="宋体"/>
                <w:szCs w:val="21"/>
              </w:rPr>
            </w:pPr>
          </w:p>
        </w:tc>
        <w:tc>
          <w:tcPr>
            <w:tcW w:w="1980" w:type="dxa"/>
            <w:tcBorders>
              <w:tl2br w:val="nil"/>
              <w:tr2bl w:val="nil"/>
            </w:tcBorders>
          </w:tcPr>
          <w:p w14:paraId="7E48766D">
            <w:pPr>
              <w:adjustRightInd w:val="0"/>
              <w:snapToGrid w:val="0"/>
              <w:jc w:val="left"/>
              <w:rPr>
                <w:rFonts w:ascii="宋体" w:hAnsi="宋体"/>
                <w:szCs w:val="21"/>
              </w:rPr>
            </w:pPr>
          </w:p>
        </w:tc>
        <w:tc>
          <w:tcPr>
            <w:tcW w:w="1697" w:type="dxa"/>
            <w:tcBorders>
              <w:tl2br w:val="nil"/>
              <w:tr2bl w:val="nil"/>
            </w:tcBorders>
          </w:tcPr>
          <w:p w14:paraId="65C2F371">
            <w:pPr>
              <w:adjustRightInd w:val="0"/>
              <w:snapToGrid w:val="0"/>
              <w:jc w:val="left"/>
              <w:rPr>
                <w:rFonts w:ascii="宋体" w:hAnsi="宋体"/>
                <w:szCs w:val="21"/>
              </w:rPr>
            </w:pPr>
          </w:p>
        </w:tc>
      </w:tr>
      <w:tr w14:paraId="7762D0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6A51A09E">
            <w:pPr>
              <w:adjustRightInd w:val="0"/>
              <w:snapToGrid w:val="0"/>
              <w:jc w:val="left"/>
              <w:rPr>
                <w:rFonts w:ascii="宋体" w:hAnsi="宋体"/>
                <w:szCs w:val="21"/>
              </w:rPr>
            </w:pPr>
          </w:p>
        </w:tc>
        <w:tc>
          <w:tcPr>
            <w:tcW w:w="4656" w:type="dxa"/>
            <w:tcBorders>
              <w:tl2br w:val="nil"/>
              <w:tr2bl w:val="nil"/>
            </w:tcBorders>
          </w:tcPr>
          <w:p w14:paraId="1328CD8D">
            <w:pPr>
              <w:adjustRightInd w:val="0"/>
              <w:snapToGrid w:val="0"/>
              <w:jc w:val="left"/>
              <w:rPr>
                <w:rFonts w:ascii="宋体" w:hAnsi="宋体"/>
                <w:szCs w:val="21"/>
              </w:rPr>
            </w:pPr>
          </w:p>
        </w:tc>
        <w:tc>
          <w:tcPr>
            <w:tcW w:w="1980" w:type="dxa"/>
            <w:tcBorders>
              <w:tl2br w:val="nil"/>
              <w:tr2bl w:val="nil"/>
            </w:tcBorders>
          </w:tcPr>
          <w:p w14:paraId="07010A39">
            <w:pPr>
              <w:adjustRightInd w:val="0"/>
              <w:snapToGrid w:val="0"/>
              <w:jc w:val="left"/>
              <w:rPr>
                <w:rFonts w:ascii="宋体" w:hAnsi="宋体"/>
                <w:szCs w:val="21"/>
              </w:rPr>
            </w:pPr>
          </w:p>
        </w:tc>
        <w:tc>
          <w:tcPr>
            <w:tcW w:w="1697" w:type="dxa"/>
            <w:tcBorders>
              <w:tl2br w:val="nil"/>
              <w:tr2bl w:val="nil"/>
            </w:tcBorders>
          </w:tcPr>
          <w:p w14:paraId="2D88FEE8">
            <w:pPr>
              <w:adjustRightInd w:val="0"/>
              <w:snapToGrid w:val="0"/>
              <w:jc w:val="left"/>
              <w:rPr>
                <w:rFonts w:ascii="宋体" w:hAnsi="宋体"/>
                <w:szCs w:val="21"/>
              </w:rPr>
            </w:pPr>
          </w:p>
        </w:tc>
      </w:tr>
      <w:tr w14:paraId="337855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11363C7D">
            <w:pPr>
              <w:adjustRightInd w:val="0"/>
              <w:snapToGrid w:val="0"/>
              <w:jc w:val="left"/>
              <w:rPr>
                <w:rFonts w:ascii="宋体" w:hAnsi="宋体"/>
                <w:szCs w:val="21"/>
              </w:rPr>
            </w:pPr>
          </w:p>
        </w:tc>
        <w:tc>
          <w:tcPr>
            <w:tcW w:w="4656" w:type="dxa"/>
            <w:tcBorders>
              <w:tl2br w:val="nil"/>
              <w:tr2bl w:val="nil"/>
            </w:tcBorders>
          </w:tcPr>
          <w:p w14:paraId="789370F3">
            <w:pPr>
              <w:adjustRightInd w:val="0"/>
              <w:snapToGrid w:val="0"/>
              <w:jc w:val="left"/>
              <w:rPr>
                <w:rFonts w:ascii="宋体" w:hAnsi="宋体"/>
                <w:szCs w:val="21"/>
              </w:rPr>
            </w:pPr>
          </w:p>
        </w:tc>
        <w:tc>
          <w:tcPr>
            <w:tcW w:w="1980" w:type="dxa"/>
            <w:tcBorders>
              <w:tl2br w:val="nil"/>
              <w:tr2bl w:val="nil"/>
            </w:tcBorders>
          </w:tcPr>
          <w:p w14:paraId="137BAC18">
            <w:pPr>
              <w:adjustRightInd w:val="0"/>
              <w:snapToGrid w:val="0"/>
              <w:jc w:val="left"/>
              <w:rPr>
                <w:rFonts w:ascii="宋体" w:hAnsi="宋体"/>
                <w:szCs w:val="21"/>
              </w:rPr>
            </w:pPr>
          </w:p>
        </w:tc>
        <w:tc>
          <w:tcPr>
            <w:tcW w:w="1697" w:type="dxa"/>
            <w:tcBorders>
              <w:tl2br w:val="nil"/>
              <w:tr2bl w:val="nil"/>
            </w:tcBorders>
          </w:tcPr>
          <w:p w14:paraId="3692222C">
            <w:pPr>
              <w:adjustRightInd w:val="0"/>
              <w:snapToGrid w:val="0"/>
              <w:jc w:val="left"/>
              <w:rPr>
                <w:rFonts w:ascii="宋体" w:hAnsi="宋体"/>
                <w:szCs w:val="21"/>
              </w:rPr>
            </w:pPr>
          </w:p>
        </w:tc>
      </w:tr>
      <w:tr w14:paraId="0AB01E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4BDED303">
            <w:pPr>
              <w:adjustRightInd w:val="0"/>
              <w:snapToGrid w:val="0"/>
              <w:jc w:val="left"/>
              <w:rPr>
                <w:rFonts w:ascii="宋体" w:hAnsi="宋体"/>
                <w:szCs w:val="21"/>
              </w:rPr>
            </w:pPr>
          </w:p>
        </w:tc>
        <w:tc>
          <w:tcPr>
            <w:tcW w:w="4656" w:type="dxa"/>
            <w:tcBorders>
              <w:tl2br w:val="nil"/>
              <w:tr2bl w:val="nil"/>
            </w:tcBorders>
          </w:tcPr>
          <w:p w14:paraId="0EC1236B">
            <w:pPr>
              <w:adjustRightInd w:val="0"/>
              <w:snapToGrid w:val="0"/>
              <w:jc w:val="left"/>
              <w:rPr>
                <w:rFonts w:ascii="宋体" w:hAnsi="宋体"/>
                <w:szCs w:val="21"/>
              </w:rPr>
            </w:pPr>
          </w:p>
        </w:tc>
        <w:tc>
          <w:tcPr>
            <w:tcW w:w="1980" w:type="dxa"/>
            <w:tcBorders>
              <w:tl2br w:val="nil"/>
              <w:tr2bl w:val="nil"/>
            </w:tcBorders>
          </w:tcPr>
          <w:p w14:paraId="1E40CF07">
            <w:pPr>
              <w:adjustRightInd w:val="0"/>
              <w:snapToGrid w:val="0"/>
              <w:jc w:val="left"/>
              <w:rPr>
                <w:rFonts w:ascii="宋体" w:hAnsi="宋体"/>
                <w:szCs w:val="21"/>
              </w:rPr>
            </w:pPr>
          </w:p>
        </w:tc>
        <w:tc>
          <w:tcPr>
            <w:tcW w:w="1697" w:type="dxa"/>
            <w:tcBorders>
              <w:tl2br w:val="nil"/>
              <w:tr2bl w:val="nil"/>
            </w:tcBorders>
          </w:tcPr>
          <w:p w14:paraId="56400923">
            <w:pPr>
              <w:adjustRightInd w:val="0"/>
              <w:snapToGrid w:val="0"/>
              <w:jc w:val="left"/>
              <w:rPr>
                <w:rFonts w:ascii="宋体" w:hAnsi="宋体"/>
                <w:szCs w:val="21"/>
              </w:rPr>
            </w:pPr>
          </w:p>
        </w:tc>
      </w:tr>
      <w:tr w14:paraId="608549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6F9F6E22">
            <w:pPr>
              <w:adjustRightInd w:val="0"/>
              <w:snapToGrid w:val="0"/>
              <w:jc w:val="left"/>
              <w:rPr>
                <w:rFonts w:ascii="宋体" w:hAnsi="宋体"/>
                <w:szCs w:val="21"/>
              </w:rPr>
            </w:pPr>
          </w:p>
        </w:tc>
        <w:tc>
          <w:tcPr>
            <w:tcW w:w="4656" w:type="dxa"/>
            <w:tcBorders>
              <w:tl2br w:val="nil"/>
              <w:tr2bl w:val="nil"/>
            </w:tcBorders>
          </w:tcPr>
          <w:p w14:paraId="34DBFFCA">
            <w:pPr>
              <w:adjustRightInd w:val="0"/>
              <w:snapToGrid w:val="0"/>
              <w:jc w:val="left"/>
              <w:rPr>
                <w:rFonts w:ascii="宋体" w:hAnsi="宋体"/>
                <w:szCs w:val="21"/>
              </w:rPr>
            </w:pPr>
          </w:p>
        </w:tc>
        <w:tc>
          <w:tcPr>
            <w:tcW w:w="1980" w:type="dxa"/>
            <w:tcBorders>
              <w:tl2br w:val="nil"/>
              <w:tr2bl w:val="nil"/>
            </w:tcBorders>
          </w:tcPr>
          <w:p w14:paraId="159BC69C">
            <w:pPr>
              <w:adjustRightInd w:val="0"/>
              <w:snapToGrid w:val="0"/>
              <w:jc w:val="left"/>
              <w:rPr>
                <w:rFonts w:ascii="宋体" w:hAnsi="宋体"/>
                <w:szCs w:val="21"/>
              </w:rPr>
            </w:pPr>
          </w:p>
        </w:tc>
        <w:tc>
          <w:tcPr>
            <w:tcW w:w="1697" w:type="dxa"/>
            <w:tcBorders>
              <w:tl2br w:val="nil"/>
              <w:tr2bl w:val="nil"/>
            </w:tcBorders>
          </w:tcPr>
          <w:p w14:paraId="056A21E4">
            <w:pPr>
              <w:adjustRightInd w:val="0"/>
              <w:snapToGrid w:val="0"/>
              <w:jc w:val="left"/>
              <w:rPr>
                <w:rFonts w:ascii="宋体" w:hAnsi="宋体"/>
                <w:szCs w:val="21"/>
              </w:rPr>
            </w:pPr>
          </w:p>
        </w:tc>
      </w:tr>
    </w:tbl>
    <w:p w14:paraId="322C4EFA">
      <w:pPr>
        <w:pStyle w:val="5"/>
        <w:jc w:val="both"/>
        <w:rPr>
          <w:rFonts w:ascii="黑体" w:hAnsi="黑体" w:eastAsia="黑体" w:cs="黑体"/>
          <w:sz w:val="28"/>
          <w:szCs w:val="28"/>
        </w:rPr>
      </w:pPr>
    </w:p>
    <w:p w14:paraId="7C3D42AF">
      <w:pPr>
        <w:pStyle w:val="39"/>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08396EA4">
      <w:pPr>
        <w:pStyle w:val="5"/>
        <w:jc w:val="center"/>
        <w:rPr>
          <w:rFonts w:ascii="黑体" w:hAnsi="黑体" w:eastAsia="黑体" w:cs="黑体"/>
          <w:sz w:val="28"/>
          <w:szCs w:val="28"/>
        </w:rPr>
      </w:pPr>
    </w:p>
    <w:p w14:paraId="74694176">
      <w:pPr>
        <w:pStyle w:val="5"/>
        <w:jc w:val="center"/>
        <w:rPr>
          <w:rFonts w:ascii="黑体" w:hAnsi="黑体" w:eastAsia="黑体" w:cs="黑体"/>
          <w:sz w:val="28"/>
          <w:szCs w:val="28"/>
        </w:rPr>
      </w:pPr>
    </w:p>
    <w:p w14:paraId="451C3B17">
      <w:pPr>
        <w:spacing w:line="440" w:lineRule="exact"/>
        <w:ind w:left="1619" w:leftChars="771"/>
        <w:rPr>
          <w:rFonts w:ascii="黑体" w:hAnsi="黑体" w:eastAsia="黑体" w:cs="黑体"/>
          <w:sz w:val="28"/>
          <w:szCs w:val="28"/>
        </w:rPr>
      </w:pPr>
    </w:p>
    <w:p w14:paraId="52E9902B">
      <w:pPr>
        <w:pStyle w:val="5"/>
        <w:jc w:val="center"/>
        <w:rPr>
          <w:rFonts w:ascii="黑体" w:hAnsi="黑体" w:eastAsia="黑体" w:cs="黑体"/>
          <w:sz w:val="28"/>
          <w:szCs w:val="28"/>
        </w:rPr>
      </w:pPr>
    </w:p>
    <w:p w14:paraId="705D6A89">
      <w:pPr>
        <w:pStyle w:val="5"/>
        <w:rPr>
          <w:rFonts w:ascii="黑体" w:hAnsi="黑体" w:eastAsia="黑体" w:cs="黑体"/>
          <w:sz w:val="28"/>
          <w:szCs w:val="28"/>
        </w:rPr>
      </w:pPr>
    </w:p>
    <w:p w14:paraId="6E2DA64E">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供货方案</w:t>
      </w:r>
    </w:p>
    <w:p w14:paraId="1C8DF4B9">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1159CCDE">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629116C9">
      <w:pPr>
        <w:pStyle w:val="5"/>
        <w:jc w:val="center"/>
        <w:rPr>
          <w:rFonts w:ascii="黑体" w:hAnsi="黑体" w:eastAsia="黑体" w:cs="黑体"/>
          <w:sz w:val="28"/>
          <w:szCs w:val="28"/>
        </w:rPr>
      </w:pPr>
    </w:p>
    <w:p w14:paraId="446EFD07">
      <w:pPr>
        <w:pStyle w:val="5"/>
        <w:jc w:val="center"/>
        <w:rPr>
          <w:rFonts w:ascii="黑体" w:hAnsi="黑体" w:eastAsia="黑体" w:cs="黑体"/>
          <w:sz w:val="28"/>
          <w:szCs w:val="28"/>
        </w:rPr>
      </w:pPr>
    </w:p>
    <w:p w14:paraId="056F6984">
      <w:pPr>
        <w:pStyle w:val="5"/>
        <w:jc w:val="center"/>
        <w:rPr>
          <w:rFonts w:ascii="黑体" w:hAnsi="黑体" w:eastAsia="黑体" w:cs="黑体"/>
          <w:sz w:val="28"/>
          <w:szCs w:val="28"/>
        </w:rPr>
      </w:pPr>
    </w:p>
    <w:p w14:paraId="104CBA1A">
      <w:pPr>
        <w:pStyle w:val="5"/>
        <w:jc w:val="center"/>
        <w:rPr>
          <w:rFonts w:ascii="黑体" w:hAnsi="黑体" w:eastAsia="黑体" w:cs="黑体"/>
          <w:sz w:val="28"/>
          <w:szCs w:val="28"/>
        </w:rPr>
      </w:pPr>
    </w:p>
    <w:p w14:paraId="77A76D55">
      <w:pPr>
        <w:pStyle w:val="5"/>
        <w:jc w:val="center"/>
        <w:rPr>
          <w:rFonts w:ascii="黑体" w:hAnsi="黑体" w:eastAsia="黑体" w:cs="黑体"/>
          <w:sz w:val="28"/>
          <w:szCs w:val="28"/>
        </w:rPr>
      </w:pPr>
    </w:p>
    <w:p w14:paraId="085D0C46">
      <w:pPr>
        <w:pStyle w:val="5"/>
        <w:jc w:val="center"/>
        <w:rPr>
          <w:rFonts w:ascii="黑体" w:hAnsi="黑体" w:eastAsia="黑体" w:cs="黑体"/>
          <w:sz w:val="28"/>
          <w:szCs w:val="28"/>
        </w:rPr>
      </w:pPr>
    </w:p>
    <w:p w14:paraId="2BB1D4F8">
      <w:pPr>
        <w:pStyle w:val="5"/>
        <w:jc w:val="center"/>
        <w:rPr>
          <w:rFonts w:ascii="黑体" w:hAnsi="黑体" w:eastAsia="黑体" w:cs="黑体"/>
          <w:sz w:val="28"/>
          <w:szCs w:val="28"/>
        </w:rPr>
      </w:pPr>
    </w:p>
    <w:p w14:paraId="7465A7EE">
      <w:pPr>
        <w:pStyle w:val="5"/>
        <w:jc w:val="center"/>
        <w:rPr>
          <w:rFonts w:ascii="黑体" w:hAnsi="黑体" w:eastAsia="黑体" w:cs="黑体"/>
          <w:sz w:val="28"/>
          <w:szCs w:val="28"/>
        </w:rPr>
      </w:pPr>
    </w:p>
    <w:p w14:paraId="69B922B4">
      <w:pPr>
        <w:pStyle w:val="5"/>
        <w:jc w:val="center"/>
        <w:rPr>
          <w:rFonts w:ascii="黑体" w:hAnsi="黑体" w:eastAsia="黑体" w:cs="黑体"/>
          <w:sz w:val="28"/>
          <w:szCs w:val="28"/>
        </w:rPr>
      </w:pPr>
    </w:p>
    <w:p w14:paraId="3B4CE377">
      <w:pPr>
        <w:pStyle w:val="5"/>
        <w:jc w:val="center"/>
        <w:rPr>
          <w:rFonts w:ascii="黑体" w:hAnsi="黑体" w:eastAsia="黑体" w:cs="黑体"/>
          <w:sz w:val="28"/>
          <w:szCs w:val="28"/>
        </w:rPr>
      </w:pPr>
    </w:p>
    <w:p w14:paraId="1DCF5913">
      <w:pPr>
        <w:pStyle w:val="5"/>
        <w:jc w:val="center"/>
        <w:rPr>
          <w:rFonts w:ascii="黑体" w:hAnsi="黑体" w:eastAsia="黑体" w:cs="黑体"/>
          <w:sz w:val="28"/>
          <w:szCs w:val="28"/>
        </w:rPr>
      </w:pPr>
    </w:p>
    <w:p w14:paraId="67173DB2">
      <w:pPr>
        <w:pStyle w:val="5"/>
        <w:jc w:val="center"/>
        <w:rPr>
          <w:rFonts w:ascii="黑体" w:hAnsi="黑体" w:eastAsia="黑体" w:cs="黑体"/>
          <w:sz w:val="28"/>
          <w:szCs w:val="28"/>
        </w:rPr>
      </w:pPr>
    </w:p>
    <w:p w14:paraId="0C09D16E">
      <w:pPr>
        <w:pStyle w:val="5"/>
        <w:jc w:val="center"/>
        <w:rPr>
          <w:rFonts w:ascii="黑体" w:hAnsi="黑体" w:eastAsia="黑体" w:cs="黑体"/>
          <w:sz w:val="28"/>
          <w:szCs w:val="28"/>
        </w:rPr>
      </w:pPr>
    </w:p>
    <w:p w14:paraId="5947CFD7">
      <w:pPr>
        <w:pStyle w:val="5"/>
        <w:jc w:val="center"/>
        <w:rPr>
          <w:rFonts w:ascii="黑体" w:hAnsi="黑体" w:eastAsia="黑体" w:cs="黑体"/>
          <w:sz w:val="28"/>
          <w:szCs w:val="28"/>
        </w:rPr>
      </w:pPr>
    </w:p>
    <w:p w14:paraId="1B55B743">
      <w:pPr>
        <w:pStyle w:val="5"/>
        <w:jc w:val="center"/>
        <w:rPr>
          <w:rFonts w:ascii="黑体" w:hAnsi="黑体" w:eastAsia="黑体" w:cs="黑体"/>
          <w:sz w:val="28"/>
          <w:szCs w:val="28"/>
        </w:rPr>
      </w:pPr>
    </w:p>
    <w:p w14:paraId="419751C0">
      <w:pPr>
        <w:pStyle w:val="5"/>
        <w:jc w:val="center"/>
        <w:rPr>
          <w:rFonts w:ascii="黑体" w:hAnsi="黑体" w:eastAsia="黑体" w:cs="黑体"/>
          <w:sz w:val="28"/>
          <w:szCs w:val="28"/>
        </w:rPr>
      </w:pPr>
    </w:p>
    <w:p w14:paraId="69EB66BB">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其他材料</w:t>
      </w:r>
    </w:p>
    <w:p w14:paraId="10D28E63">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E666D4A-9E23-4D67-92EC-6C470E293165}"/>
  </w:font>
  <w:font w:name="黑体">
    <w:panose1 w:val="02010609060101010101"/>
    <w:charset w:val="86"/>
    <w:family w:val="auto"/>
    <w:pitch w:val="default"/>
    <w:sig w:usb0="800002BF" w:usb1="38CF7CFA" w:usb2="00000016" w:usb3="00000000" w:csb0="00040001" w:csb1="00000000"/>
    <w:embedRegular r:id="rId2" w:fontKey="{1542E61A-85A2-4FD6-9C17-8EC2D266EB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1320508-029B-4EE2-9ED0-AE4EC7C76D0F}"/>
  </w:font>
  <w:font w:name="微软雅黑">
    <w:panose1 w:val="020B0503020204020204"/>
    <w:charset w:val="86"/>
    <w:family w:val="swiss"/>
    <w:pitch w:val="default"/>
    <w:sig w:usb0="80000287" w:usb1="2ACF3C50" w:usb2="00000016" w:usb3="00000000" w:csb0="0004001F" w:csb1="00000000"/>
    <w:embedRegular r:id="rId4" w:fontKey="{A768D5AD-B4BA-4AD9-AEB3-7A71672C295D}"/>
  </w:font>
  <w:font w:name="仿宋_GB2312">
    <w:panose1 w:val="02010609030101010101"/>
    <w:charset w:val="86"/>
    <w:family w:val="auto"/>
    <w:pitch w:val="default"/>
    <w:sig w:usb0="00000001" w:usb1="080E0000" w:usb2="00000000" w:usb3="00000000" w:csb0="00040000" w:csb1="00000000"/>
    <w:embedRegular r:id="rId5" w:fontKey="{974AD29C-8E51-4244-BCF1-5A43D1FC61C9}"/>
  </w:font>
  <w:font w:name="Fang Song">
    <w:altName w:val="宋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6" w:fontKey="{679D5BF9-0C3D-4563-8782-AFA9E2340E2E}"/>
  </w:font>
  <w:font w:name="ˎ̥">
    <w:altName w:val="Times New Roman"/>
    <w:panose1 w:val="00000000000000000000"/>
    <w:charset w:val="00"/>
    <w:family w:val="modern"/>
    <w:pitch w:val="default"/>
    <w:sig w:usb0="00000000" w:usb1="00000000" w:usb2="00000000" w:usb3="00000000" w:csb0="00040001" w:csb1="00000000"/>
    <w:embedRegular r:id="rId7" w:fontKey="{52D87984-7138-4881-9D51-CDD7A841AE40}"/>
  </w:font>
  <w:font w:name="仿宋">
    <w:panose1 w:val="02010609060101010101"/>
    <w:charset w:val="86"/>
    <w:family w:val="modern"/>
    <w:pitch w:val="default"/>
    <w:sig w:usb0="800002BF" w:usb1="38CF7CFA" w:usb2="00000016" w:usb3="00000000" w:csb0="00040001" w:csb1="00000000"/>
    <w:embedRegular r:id="rId8" w:fontKey="{7698C208-85C6-4EEF-A37F-C81DEA707B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8"/>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8"/>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16443819">
                    <w:pPr>
                      <w:pStyle w:val="8"/>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77B2E">
    <w:pPr>
      <w:pStyle w:val="8"/>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637D03">
                          <w:pPr>
                            <w:pStyle w:val="8"/>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B637D03">
                    <w:pPr>
                      <w:pStyle w:val="8"/>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DD5814A">
    <w:pPr>
      <w:pStyle w:val="8"/>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AE2607CB"/>
    <w:multiLevelType w:val="singleLevel"/>
    <w:tmpl w:val="AE2607CB"/>
    <w:lvl w:ilvl="0" w:tentative="0">
      <w:start w:val="5"/>
      <w:numFmt w:val="chineseCounting"/>
      <w:suff w:val="space"/>
      <w:lvlText w:val="第%1章"/>
      <w:lvlJc w:val="left"/>
      <w:rPr>
        <w:rFonts w:hint="eastAsia"/>
      </w:rPr>
    </w:lvl>
  </w:abstractNum>
  <w:abstractNum w:abstractNumId="3">
    <w:nsid w:val="DF9C4183"/>
    <w:multiLevelType w:val="singleLevel"/>
    <w:tmpl w:val="DF9C4183"/>
    <w:lvl w:ilvl="0" w:tentative="0">
      <w:start w:val="1"/>
      <w:numFmt w:val="chineseCounting"/>
      <w:suff w:val="nothing"/>
      <w:lvlText w:val="%1、"/>
      <w:lvlJc w:val="left"/>
      <w:rPr>
        <w:rFonts w:hint="eastAsia"/>
      </w:rPr>
    </w:lvl>
  </w:abstractNum>
  <w:abstractNum w:abstractNumId="4">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5">
    <w:nsid w:val="59988EA0"/>
    <w:multiLevelType w:val="singleLevel"/>
    <w:tmpl w:val="59988EA0"/>
    <w:lvl w:ilvl="0" w:tentative="0">
      <w:start w:val="2"/>
      <w:numFmt w:val="decimal"/>
      <w:suff w:val="nothing"/>
      <w:lvlText w:val="%1、"/>
      <w:lvlJc w:val="left"/>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ZmJiMmVmYzJhYjZmOTE3MGFkZTIwZDI2YzdiNjk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C2D4F"/>
    <w:rsid w:val="016F3AE4"/>
    <w:rsid w:val="019662B6"/>
    <w:rsid w:val="01992D6C"/>
    <w:rsid w:val="019E3125"/>
    <w:rsid w:val="01A05D40"/>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821FB"/>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01990"/>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6666A"/>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5E11832"/>
    <w:rsid w:val="060F639F"/>
    <w:rsid w:val="0616234B"/>
    <w:rsid w:val="061C6516"/>
    <w:rsid w:val="06206644"/>
    <w:rsid w:val="06233674"/>
    <w:rsid w:val="06291F85"/>
    <w:rsid w:val="06356AB4"/>
    <w:rsid w:val="06361B7E"/>
    <w:rsid w:val="0637658C"/>
    <w:rsid w:val="0639341C"/>
    <w:rsid w:val="06420BE5"/>
    <w:rsid w:val="064F44F5"/>
    <w:rsid w:val="066072C2"/>
    <w:rsid w:val="06750697"/>
    <w:rsid w:val="069B3C00"/>
    <w:rsid w:val="06CA1760"/>
    <w:rsid w:val="06ED25DE"/>
    <w:rsid w:val="06F57E5E"/>
    <w:rsid w:val="06FD0BBC"/>
    <w:rsid w:val="07085527"/>
    <w:rsid w:val="073A3426"/>
    <w:rsid w:val="0744651C"/>
    <w:rsid w:val="0757367C"/>
    <w:rsid w:val="07595CAC"/>
    <w:rsid w:val="076F25A8"/>
    <w:rsid w:val="07726F78"/>
    <w:rsid w:val="077508BA"/>
    <w:rsid w:val="077772CA"/>
    <w:rsid w:val="078801AD"/>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43B13"/>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9C44A90"/>
    <w:rsid w:val="0A132DA4"/>
    <w:rsid w:val="0A187F18"/>
    <w:rsid w:val="0A3641B0"/>
    <w:rsid w:val="0A3769B7"/>
    <w:rsid w:val="0A4977DA"/>
    <w:rsid w:val="0A5D06A7"/>
    <w:rsid w:val="0A605CF3"/>
    <w:rsid w:val="0A6319DD"/>
    <w:rsid w:val="0A6564B9"/>
    <w:rsid w:val="0A6B7FB8"/>
    <w:rsid w:val="0A7D7D7B"/>
    <w:rsid w:val="0A944A5A"/>
    <w:rsid w:val="0AA52BD3"/>
    <w:rsid w:val="0AAC4813"/>
    <w:rsid w:val="0AB417AF"/>
    <w:rsid w:val="0AC0410C"/>
    <w:rsid w:val="0ACB14D5"/>
    <w:rsid w:val="0AFC27B3"/>
    <w:rsid w:val="0B0109E6"/>
    <w:rsid w:val="0B0364E1"/>
    <w:rsid w:val="0B143FBB"/>
    <w:rsid w:val="0B183F48"/>
    <w:rsid w:val="0B5605CC"/>
    <w:rsid w:val="0B575328"/>
    <w:rsid w:val="0B575C8E"/>
    <w:rsid w:val="0B5C5BE2"/>
    <w:rsid w:val="0B607438"/>
    <w:rsid w:val="0B6A3567"/>
    <w:rsid w:val="0B8C0B40"/>
    <w:rsid w:val="0B940000"/>
    <w:rsid w:val="0B9E7AAB"/>
    <w:rsid w:val="0BBD53FC"/>
    <w:rsid w:val="0BD95321"/>
    <w:rsid w:val="0BE53DBD"/>
    <w:rsid w:val="0BED7182"/>
    <w:rsid w:val="0BEE3A7F"/>
    <w:rsid w:val="0BF37124"/>
    <w:rsid w:val="0C1F3F50"/>
    <w:rsid w:val="0C210E8A"/>
    <w:rsid w:val="0C2D25CC"/>
    <w:rsid w:val="0C37664F"/>
    <w:rsid w:val="0C3A6DCE"/>
    <w:rsid w:val="0C444484"/>
    <w:rsid w:val="0C471C14"/>
    <w:rsid w:val="0C4757BF"/>
    <w:rsid w:val="0C4B7BB2"/>
    <w:rsid w:val="0C5344EB"/>
    <w:rsid w:val="0C5B011A"/>
    <w:rsid w:val="0C854A24"/>
    <w:rsid w:val="0C871385"/>
    <w:rsid w:val="0C8D21A0"/>
    <w:rsid w:val="0C932008"/>
    <w:rsid w:val="0C954935"/>
    <w:rsid w:val="0C9E6EE9"/>
    <w:rsid w:val="0CA60BF4"/>
    <w:rsid w:val="0CB87378"/>
    <w:rsid w:val="0CEE2538"/>
    <w:rsid w:val="0CFF356B"/>
    <w:rsid w:val="0D1C692C"/>
    <w:rsid w:val="0D1F7FB3"/>
    <w:rsid w:val="0D235F12"/>
    <w:rsid w:val="0D371527"/>
    <w:rsid w:val="0D421699"/>
    <w:rsid w:val="0D491784"/>
    <w:rsid w:val="0D691CDD"/>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B62B2"/>
    <w:rsid w:val="0FE0087A"/>
    <w:rsid w:val="0FE034BE"/>
    <w:rsid w:val="100642FF"/>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A3C90"/>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0F683F"/>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6A5CDB"/>
    <w:rsid w:val="137511FB"/>
    <w:rsid w:val="139157D5"/>
    <w:rsid w:val="13A613F8"/>
    <w:rsid w:val="13A61F8A"/>
    <w:rsid w:val="13EB2E20"/>
    <w:rsid w:val="13EE17CA"/>
    <w:rsid w:val="13F71AAC"/>
    <w:rsid w:val="13F727DE"/>
    <w:rsid w:val="140531B2"/>
    <w:rsid w:val="141603C9"/>
    <w:rsid w:val="143E047A"/>
    <w:rsid w:val="145C0174"/>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726C02"/>
    <w:rsid w:val="16B0772A"/>
    <w:rsid w:val="16BD38FF"/>
    <w:rsid w:val="16C80323"/>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E93EB1"/>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507CB9"/>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427030"/>
    <w:rsid w:val="1B7270A9"/>
    <w:rsid w:val="1B742B49"/>
    <w:rsid w:val="1B7A2038"/>
    <w:rsid w:val="1B7D4D66"/>
    <w:rsid w:val="1B830B8C"/>
    <w:rsid w:val="1B866CA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A12CBF"/>
    <w:rsid w:val="1FC653B9"/>
    <w:rsid w:val="1FC830F6"/>
    <w:rsid w:val="1FDC65DE"/>
    <w:rsid w:val="1FE50EDC"/>
    <w:rsid w:val="1FFD5491"/>
    <w:rsid w:val="1FFF49B3"/>
    <w:rsid w:val="20085EE1"/>
    <w:rsid w:val="200A49DA"/>
    <w:rsid w:val="2010615E"/>
    <w:rsid w:val="202E73DC"/>
    <w:rsid w:val="20350D4E"/>
    <w:rsid w:val="20433736"/>
    <w:rsid w:val="205B3A40"/>
    <w:rsid w:val="207C19DD"/>
    <w:rsid w:val="20987265"/>
    <w:rsid w:val="209A4709"/>
    <w:rsid w:val="20A32AD4"/>
    <w:rsid w:val="20A83190"/>
    <w:rsid w:val="20BB0B4F"/>
    <w:rsid w:val="20C14537"/>
    <w:rsid w:val="20C23964"/>
    <w:rsid w:val="20D03B7B"/>
    <w:rsid w:val="20D55FD7"/>
    <w:rsid w:val="20DE2F63"/>
    <w:rsid w:val="20E34258"/>
    <w:rsid w:val="20ED699B"/>
    <w:rsid w:val="21020B82"/>
    <w:rsid w:val="21063370"/>
    <w:rsid w:val="211508B6"/>
    <w:rsid w:val="211B2CD8"/>
    <w:rsid w:val="21225095"/>
    <w:rsid w:val="21290251"/>
    <w:rsid w:val="212B27B8"/>
    <w:rsid w:val="21303DB9"/>
    <w:rsid w:val="217F414A"/>
    <w:rsid w:val="21957A4E"/>
    <w:rsid w:val="21B209FB"/>
    <w:rsid w:val="21C307B3"/>
    <w:rsid w:val="21C748D7"/>
    <w:rsid w:val="21CE3C80"/>
    <w:rsid w:val="21D11C50"/>
    <w:rsid w:val="21E27CC2"/>
    <w:rsid w:val="21E82062"/>
    <w:rsid w:val="21FC1CC5"/>
    <w:rsid w:val="220F22ED"/>
    <w:rsid w:val="22266C58"/>
    <w:rsid w:val="22290B71"/>
    <w:rsid w:val="223920C8"/>
    <w:rsid w:val="2257773E"/>
    <w:rsid w:val="227535F4"/>
    <w:rsid w:val="22754149"/>
    <w:rsid w:val="228C37EE"/>
    <w:rsid w:val="228C6100"/>
    <w:rsid w:val="229F3C3B"/>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67F5F"/>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DA4F02"/>
    <w:rsid w:val="25F72C80"/>
    <w:rsid w:val="261E2FED"/>
    <w:rsid w:val="262D3499"/>
    <w:rsid w:val="2631307A"/>
    <w:rsid w:val="26363BA8"/>
    <w:rsid w:val="264F0DC8"/>
    <w:rsid w:val="26505959"/>
    <w:rsid w:val="26757836"/>
    <w:rsid w:val="26793695"/>
    <w:rsid w:val="267942C6"/>
    <w:rsid w:val="268169ED"/>
    <w:rsid w:val="26936A6A"/>
    <w:rsid w:val="269C55D5"/>
    <w:rsid w:val="26AC54AE"/>
    <w:rsid w:val="26AE35E3"/>
    <w:rsid w:val="26BB0C51"/>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36E49"/>
    <w:rsid w:val="28CB2405"/>
    <w:rsid w:val="28CC65CA"/>
    <w:rsid w:val="28E31299"/>
    <w:rsid w:val="28E4564A"/>
    <w:rsid w:val="28FD4C25"/>
    <w:rsid w:val="29121767"/>
    <w:rsid w:val="2916341D"/>
    <w:rsid w:val="293529A7"/>
    <w:rsid w:val="29391889"/>
    <w:rsid w:val="29431FF9"/>
    <w:rsid w:val="294549B1"/>
    <w:rsid w:val="298E4667"/>
    <w:rsid w:val="299921F9"/>
    <w:rsid w:val="299E263B"/>
    <w:rsid w:val="29AC15DA"/>
    <w:rsid w:val="29C849C9"/>
    <w:rsid w:val="29E638F8"/>
    <w:rsid w:val="29FC40FB"/>
    <w:rsid w:val="2A1D6B49"/>
    <w:rsid w:val="2A433E72"/>
    <w:rsid w:val="2A473886"/>
    <w:rsid w:val="2A4D466A"/>
    <w:rsid w:val="2A571212"/>
    <w:rsid w:val="2A5C554F"/>
    <w:rsid w:val="2A697EC4"/>
    <w:rsid w:val="2A6C2506"/>
    <w:rsid w:val="2A76695F"/>
    <w:rsid w:val="2A7F4FF2"/>
    <w:rsid w:val="2A8E3AA7"/>
    <w:rsid w:val="2A930A9D"/>
    <w:rsid w:val="2A9758C1"/>
    <w:rsid w:val="2AA2330A"/>
    <w:rsid w:val="2AA86D0F"/>
    <w:rsid w:val="2AB036B9"/>
    <w:rsid w:val="2AB50200"/>
    <w:rsid w:val="2AC0255C"/>
    <w:rsid w:val="2ACA3C75"/>
    <w:rsid w:val="2ACD4339"/>
    <w:rsid w:val="2AE71769"/>
    <w:rsid w:val="2B0A558D"/>
    <w:rsid w:val="2B104C4C"/>
    <w:rsid w:val="2B1C6134"/>
    <w:rsid w:val="2B274F49"/>
    <w:rsid w:val="2B2E4091"/>
    <w:rsid w:val="2B4705D1"/>
    <w:rsid w:val="2B547EAB"/>
    <w:rsid w:val="2B752198"/>
    <w:rsid w:val="2B9677D0"/>
    <w:rsid w:val="2BA50E72"/>
    <w:rsid w:val="2BB570B9"/>
    <w:rsid w:val="2BCA60F5"/>
    <w:rsid w:val="2BDF25BB"/>
    <w:rsid w:val="2BED184D"/>
    <w:rsid w:val="2BF97573"/>
    <w:rsid w:val="2C282379"/>
    <w:rsid w:val="2C436A23"/>
    <w:rsid w:val="2C574478"/>
    <w:rsid w:val="2C706680"/>
    <w:rsid w:val="2C74409C"/>
    <w:rsid w:val="2C78559C"/>
    <w:rsid w:val="2C845E56"/>
    <w:rsid w:val="2C9E62E8"/>
    <w:rsid w:val="2CB12F5F"/>
    <w:rsid w:val="2CC914F3"/>
    <w:rsid w:val="2CCB157B"/>
    <w:rsid w:val="2CCD7379"/>
    <w:rsid w:val="2CD91BE3"/>
    <w:rsid w:val="2CD93E72"/>
    <w:rsid w:val="2CE60EC6"/>
    <w:rsid w:val="2CF174D1"/>
    <w:rsid w:val="2CF47F19"/>
    <w:rsid w:val="2CF855B9"/>
    <w:rsid w:val="2D03015C"/>
    <w:rsid w:val="2D044DD1"/>
    <w:rsid w:val="2D1C78E5"/>
    <w:rsid w:val="2D4633AE"/>
    <w:rsid w:val="2D5E7110"/>
    <w:rsid w:val="2D67693D"/>
    <w:rsid w:val="2D6B78B2"/>
    <w:rsid w:val="2D702015"/>
    <w:rsid w:val="2D7D7F0E"/>
    <w:rsid w:val="2D825525"/>
    <w:rsid w:val="2D85124E"/>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61116A"/>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621092"/>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7E631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6614F3"/>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03E44"/>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04C35"/>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644C5"/>
    <w:rsid w:val="3DBA3955"/>
    <w:rsid w:val="3DC64303"/>
    <w:rsid w:val="3DE25B6C"/>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EFA496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60006"/>
    <w:rsid w:val="411D3F96"/>
    <w:rsid w:val="412233A4"/>
    <w:rsid w:val="413C5593"/>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1FF451D"/>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65E58"/>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A49AF"/>
    <w:rsid w:val="446D66E7"/>
    <w:rsid w:val="44833717"/>
    <w:rsid w:val="44A42430"/>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06807"/>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7D54E8"/>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12E65"/>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E6E63"/>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0928BA"/>
    <w:rsid w:val="527B18BB"/>
    <w:rsid w:val="528B6C58"/>
    <w:rsid w:val="52A9097C"/>
    <w:rsid w:val="52B54EDC"/>
    <w:rsid w:val="52B77A8D"/>
    <w:rsid w:val="52C939F0"/>
    <w:rsid w:val="52CF0C1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3D004E8"/>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75279"/>
    <w:rsid w:val="55AE2AAB"/>
    <w:rsid w:val="55BD6D09"/>
    <w:rsid w:val="55BE6A05"/>
    <w:rsid w:val="55C477FF"/>
    <w:rsid w:val="55C83941"/>
    <w:rsid w:val="55DA29AC"/>
    <w:rsid w:val="55DB488F"/>
    <w:rsid w:val="55F304BE"/>
    <w:rsid w:val="55F92F01"/>
    <w:rsid w:val="561E6AF9"/>
    <w:rsid w:val="561F5757"/>
    <w:rsid w:val="56292132"/>
    <w:rsid w:val="562B638E"/>
    <w:rsid w:val="5638698C"/>
    <w:rsid w:val="56424DE3"/>
    <w:rsid w:val="56701B0F"/>
    <w:rsid w:val="568850AA"/>
    <w:rsid w:val="56AE2637"/>
    <w:rsid w:val="56BE2DED"/>
    <w:rsid w:val="56C54A41"/>
    <w:rsid w:val="56CF16EA"/>
    <w:rsid w:val="56D51695"/>
    <w:rsid w:val="56D835EF"/>
    <w:rsid w:val="56DA167E"/>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1C1ADA"/>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225CCC"/>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BF35E6"/>
    <w:rsid w:val="5CC311B1"/>
    <w:rsid w:val="5CC6567E"/>
    <w:rsid w:val="5CD77A98"/>
    <w:rsid w:val="5CF408B8"/>
    <w:rsid w:val="5CF47502"/>
    <w:rsid w:val="5CF60A0C"/>
    <w:rsid w:val="5D2106CA"/>
    <w:rsid w:val="5D274F13"/>
    <w:rsid w:val="5D3E0BA9"/>
    <w:rsid w:val="5D53665D"/>
    <w:rsid w:val="5D690E03"/>
    <w:rsid w:val="5D6935B6"/>
    <w:rsid w:val="5D710825"/>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4B3119"/>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5A45B2"/>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8E6299"/>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9FE15B7"/>
    <w:rsid w:val="6A09181B"/>
    <w:rsid w:val="6A201236"/>
    <w:rsid w:val="6A294057"/>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5600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D965DD"/>
    <w:rsid w:val="6CE564FB"/>
    <w:rsid w:val="6CF56B79"/>
    <w:rsid w:val="6CFD0CB4"/>
    <w:rsid w:val="6D294292"/>
    <w:rsid w:val="6D30394E"/>
    <w:rsid w:val="6D32205F"/>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1D4E16"/>
    <w:rsid w:val="7045445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4D061D"/>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85A40"/>
    <w:rsid w:val="751B76E8"/>
    <w:rsid w:val="751C632F"/>
    <w:rsid w:val="75267B11"/>
    <w:rsid w:val="755D712B"/>
    <w:rsid w:val="75871A0B"/>
    <w:rsid w:val="75896036"/>
    <w:rsid w:val="758F1B5A"/>
    <w:rsid w:val="75991092"/>
    <w:rsid w:val="759B5E27"/>
    <w:rsid w:val="759D2329"/>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64864"/>
    <w:rsid w:val="774D70B5"/>
    <w:rsid w:val="77711DFB"/>
    <w:rsid w:val="77791211"/>
    <w:rsid w:val="778B06B0"/>
    <w:rsid w:val="77A870F8"/>
    <w:rsid w:val="77C853D2"/>
    <w:rsid w:val="77CB6284"/>
    <w:rsid w:val="77D54C59"/>
    <w:rsid w:val="77D9063B"/>
    <w:rsid w:val="78474B5C"/>
    <w:rsid w:val="78631CE4"/>
    <w:rsid w:val="786A240A"/>
    <w:rsid w:val="78A82F32"/>
    <w:rsid w:val="78B8116A"/>
    <w:rsid w:val="78B9393B"/>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6C36F5"/>
    <w:rsid w:val="7B71168E"/>
    <w:rsid w:val="7B9F046E"/>
    <w:rsid w:val="7BA571A1"/>
    <w:rsid w:val="7BA84BDE"/>
    <w:rsid w:val="7BDA4C3E"/>
    <w:rsid w:val="7BED0D99"/>
    <w:rsid w:val="7BF7759F"/>
    <w:rsid w:val="7C0A3E8D"/>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10492C"/>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461C04"/>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5"/>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autoRedefine/>
    <w:qFormat/>
    <w:uiPriority w:val="0"/>
    <w:pPr>
      <w:spacing w:after="120"/>
      <w:ind w:left="420" w:leftChars="200"/>
    </w:pPr>
  </w:style>
  <w:style w:type="paragraph" w:styleId="7">
    <w:name w:val="Balloon Text"/>
    <w:basedOn w:val="1"/>
    <w:link w:val="41"/>
    <w:autoRedefine/>
    <w:qFormat/>
    <w:uiPriority w:val="0"/>
    <w:rPr>
      <w:sz w:val="18"/>
      <w:szCs w:val="18"/>
    </w:r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envelope return"/>
    <w:basedOn w:val="1"/>
    <w:autoRedefine/>
    <w:unhideWhenUsed/>
    <w:qFormat/>
    <w:uiPriority w:val="99"/>
    <w:pPr>
      <w:snapToGrid w:val="0"/>
      <w:ind w:firstLine="200"/>
    </w:pPr>
    <w:rPr>
      <w:rFonts w:ascii="Arial" w:hAnsi="Arial" w:cs="Arial"/>
      <w:szCs w:val="20"/>
    </w:rPr>
  </w:style>
  <w:style w:type="paragraph" w:styleId="10">
    <w:name w:val="header"/>
    <w:basedOn w:val="1"/>
    <w:link w:val="37"/>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2"/>
    <w:qFormat/>
    <w:uiPriority w:val="0"/>
    <w:pPr>
      <w:widowControl w:val="0"/>
      <w:jc w:val="left"/>
    </w:pPr>
    <w:rPr>
      <w:rFonts w:ascii="仿宋_GB2312" w:hAnsi="宋体" w:eastAsia="仿宋_GB2312" w:cstheme="minorBidi"/>
      <w:kern w:val="2"/>
      <w:sz w:val="21"/>
      <w:szCs w:val="24"/>
      <w:lang w:val="en-US" w:eastAsia="zh-CN" w:bidi="ar-SA"/>
    </w:rPr>
  </w:style>
  <w:style w:type="paragraph" w:styleId="12">
    <w:name w:val="Normal (Web)"/>
    <w:basedOn w:val="1"/>
    <w:autoRedefine/>
    <w:qFormat/>
    <w:uiPriority w:val="99"/>
    <w:pPr>
      <w:spacing w:beforeAutospacing="1" w:afterAutospacing="1"/>
      <w:jc w:val="left"/>
    </w:pPr>
    <w:rPr>
      <w:rFonts w:cs="Times New Roman"/>
      <w:kern w:val="0"/>
      <w:sz w:val="24"/>
    </w:rPr>
  </w:style>
  <w:style w:type="paragraph" w:styleId="13">
    <w:name w:val="Title"/>
    <w:basedOn w:val="1"/>
    <w:next w:val="1"/>
    <w:autoRedefine/>
    <w:qFormat/>
    <w:uiPriority w:val="0"/>
    <w:pPr>
      <w:jc w:val="center"/>
    </w:pPr>
    <w:rPr>
      <w:sz w:val="30"/>
      <w:szCs w:val="30"/>
    </w:rPr>
  </w:style>
  <w:style w:type="paragraph" w:styleId="14">
    <w:name w:val="Body Text First Indent 2"/>
    <w:basedOn w:val="6"/>
    <w:next w:val="1"/>
    <w:autoRedefine/>
    <w:unhideWhenUsed/>
    <w:qFormat/>
    <w:uiPriority w:val="99"/>
    <w:pPr>
      <w:ind w:firstLine="420" w:firstLineChars="200"/>
    </w:pPr>
    <w:rPr>
      <w:szCs w:val="2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0"/>
    <w:rPr>
      <w:b/>
    </w:rPr>
  </w:style>
  <w:style w:type="character" w:styleId="19">
    <w:name w:val="page number"/>
    <w:basedOn w:val="17"/>
    <w:autoRedefine/>
    <w:qFormat/>
    <w:uiPriority w:val="0"/>
  </w:style>
  <w:style w:type="character" w:styleId="20">
    <w:name w:val="FollowedHyperlink"/>
    <w:basedOn w:val="17"/>
    <w:autoRedefine/>
    <w:qFormat/>
    <w:uiPriority w:val="0"/>
    <w:rPr>
      <w:rFonts w:hint="eastAsia" w:ascii="微软雅黑" w:hAnsi="微软雅黑" w:eastAsia="微软雅黑" w:cs="微软雅黑"/>
      <w:color w:val="323232"/>
      <w:sz w:val="21"/>
      <w:szCs w:val="21"/>
      <w:u w:val="none"/>
    </w:rPr>
  </w:style>
  <w:style w:type="character" w:styleId="21">
    <w:name w:val="Hyperlink"/>
    <w:basedOn w:val="17"/>
    <w:autoRedefine/>
    <w:qFormat/>
    <w:uiPriority w:val="0"/>
    <w:rPr>
      <w:color w:val="0000FF"/>
      <w:u w:val="single"/>
    </w:rPr>
  </w:style>
  <w:style w:type="paragraph" w:customStyle="1" w:styleId="22">
    <w:name w:val="WPSOffice手动目录 1"/>
    <w:autoRedefine/>
    <w:qFormat/>
    <w:uiPriority w:val="0"/>
    <w:rPr>
      <w:rFonts w:asciiTheme="minorHAnsi" w:hAnsiTheme="minorHAnsi" w:eastAsiaTheme="minorEastAsia" w:cstheme="minorBidi"/>
      <w:lang w:val="en-US" w:eastAsia="zh-CN" w:bidi="ar-SA"/>
    </w:rPr>
  </w:style>
  <w:style w:type="paragraph" w:customStyle="1" w:styleId="2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4">
    <w:name w:val="正文 题目"/>
    <w:basedOn w:val="1"/>
    <w:autoRedefine/>
    <w:qFormat/>
    <w:uiPriority w:val="0"/>
    <w:pPr>
      <w:jc w:val="center"/>
    </w:pPr>
    <w:rPr>
      <w:rFonts w:ascii="黑体" w:hAnsi="黑体" w:eastAsia="黑体"/>
      <w:sz w:val="28"/>
    </w:rPr>
  </w:style>
  <w:style w:type="character" w:customStyle="1" w:styleId="25">
    <w:name w:val="标题 2 Char"/>
    <w:link w:val="3"/>
    <w:autoRedefine/>
    <w:qFormat/>
    <w:uiPriority w:val="0"/>
    <w:rPr>
      <w:rFonts w:ascii="Arial" w:hAnsi="Arial"/>
      <w:b/>
      <w:bCs/>
      <w:sz w:val="28"/>
      <w:szCs w:val="32"/>
    </w:rPr>
  </w:style>
  <w:style w:type="character" w:customStyle="1" w:styleId="26">
    <w:name w:val="font01"/>
    <w:basedOn w:val="17"/>
    <w:autoRedefine/>
    <w:qFormat/>
    <w:uiPriority w:val="0"/>
    <w:rPr>
      <w:rFonts w:hint="eastAsia" w:ascii="宋体" w:hAnsi="宋体" w:eastAsia="宋体" w:cs="宋体"/>
      <w:color w:val="000000"/>
      <w:sz w:val="20"/>
      <w:szCs w:val="20"/>
      <w:u w:val="none"/>
    </w:rPr>
  </w:style>
  <w:style w:type="character" w:customStyle="1" w:styleId="27">
    <w:name w:val="font31"/>
    <w:basedOn w:val="17"/>
    <w:autoRedefine/>
    <w:qFormat/>
    <w:uiPriority w:val="0"/>
    <w:rPr>
      <w:rFonts w:hint="eastAsia" w:ascii="宋体" w:hAnsi="宋体" w:eastAsia="宋体" w:cs="宋体"/>
      <w:color w:val="000000"/>
      <w:sz w:val="24"/>
      <w:szCs w:val="24"/>
      <w:u w:val="none"/>
    </w:rPr>
  </w:style>
  <w:style w:type="character" w:customStyle="1" w:styleId="28">
    <w:name w:val="font61"/>
    <w:basedOn w:val="17"/>
    <w:autoRedefine/>
    <w:qFormat/>
    <w:uiPriority w:val="0"/>
    <w:rPr>
      <w:rFonts w:hint="default" w:ascii="Times New Roman" w:hAnsi="Times New Roman" w:cs="Times New Roman"/>
      <w:color w:val="000000"/>
      <w:sz w:val="24"/>
      <w:szCs w:val="24"/>
      <w:u w:val="none"/>
    </w:rPr>
  </w:style>
  <w:style w:type="character" w:customStyle="1" w:styleId="29">
    <w:name w:val="font11"/>
    <w:basedOn w:val="17"/>
    <w:autoRedefine/>
    <w:qFormat/>
    <w:uiPriority w:val="0"/>
    <w:rPr>
      <w:rFonts w:hint="eastAsia" w:ascii="宋体" w:hAnsi="宋体" w:eastAsia="宋体" w:cs="宋体"/>
      <w:color w:val="000000"/>
      <w:sz w:val="24"/>
      <w:szCs w:val="24"/>
      <w:u w:val="none"/>
    </w:rPr>
  </w:style>
  <w:style w:type="character" w:customStyle="1" w:styleId="30">
    <w:name w:val="font51"/>
    <w:basedOn w:val="17"/>
    <w:autoRedefine/>
    <w:qFormat/>
    <w:uiPriority w:val="0"/>
    <w:rPr>
      <w:rFonts w:ascii="Calibri" w:hAnsi="Calibri" w:cs="Calibri"/>
      <w:color w:val="000000"/>
      <w:sz w:val="24"/>
      <w:szCs w:val="24"/>
      <w:u w:val="none"/>
    </w:rPr>
  </w:style>
  <w:style w:type="character" w:customStyle="1" w:styleId="31">
    <w:name w:val="font21"/>
    <w:basedOn w:val="17"/>
    <w:autoRedefine/>
    <w:qFormat/>
    <w:uiPriority w:val="0"/>
    <w:rPr>
      <w:rFonts w:hint="eastAsia" w:ascii="宋体" w:hAnsi="宋体" w:eastAsia="宋体" w:cs="宋体"/>
      <w:b/>
      <w:bCs/>
      <w:color w:val="000000"/>
      <w:sz w:val="20"/>
      <w:szCs w:val="20"/>
      <w:u w:val="none"/>
    </w:rPr>
  </w:style>
  <w:style w:type="character" w:customStyle="1" w:styleId="32">
    <w:name w:val="font81"/>
    <w:basedOn w:val="17"/>
    <w:autoRedefine/>
    <w:qFormat/>
    <w:uiPriority w:val="0"/>
    <w:rPr>
      <w:rFonts w:hint="default" w:ascii="Times New Roman" w:hAnsi="Times New Roman" w:cs="Times New Roman"/>
      <w:b/>
      <w:bCs/>
      <w:color w:val="000000"/>
      <w:sz w:val="20"/>
      <w:szCs w:val="20"/>
      <w:u w:val="none"/>
    </w:rPr>
  </w:style>
  <w:style w:type="character" w:customStyle="1" w:styleId="33">
    <w:name w:val="font41"/>
    <w:basedOn w:val="17"/>
    <w:autoRedefine/>
    <w:qFormat/>
    <w:uiPriority w:val="0"/>
    <w:rPr>
      <w:rFonts w:hint="eastAsia" w:ascii="宋体" w:hAnsi="宋体" w:eastAsia="宋体" w:cs="宋体"/>
      <w:color w:val="000000"/>
      <w:sz w:val="20"/>
      <w:szCs w:val="20"/>
      <w:u w:val="none"/>
    </w:rPr>
  </w:style>
  <w:style w:type="character" w:customStyle="1" w:styleId="34">
    <w:name w:val="font71"/>
    <w:basedOn w:val="17"/>
    <w:autoRedefine/>
    <w:qFormat/>
    <w:uiPriority w:val="0"/>
    <w:rPr>
      <w:rFonts w:hint="eastAsia" w:ascii="宋体" w:hAnsi="宋体" w:eastAsia="宋体" w:cs="宋体"/>
      <w:b/>
      <w:bCs/>
      <w:color w:val="000000"/>
      <w:sz w:val="20"/>
      <w:szCs w:val="20"/>
      <w:u w:val="none"/>
      <w:vertAlign w:val="superscript"/>
    </w:rPr>
  </w:style>
  <w:style w:type="character" w:customStyle="1" w:styleId="35">
    <w:name w:val="hover52"/>
    <w:basedOn w:val="17"/>
    <w:autoRedefine/>
    <w:qFormat/>
    <w:uiPriority w:val="0"/>
    <w:rPr>
      <w:color w:val="D61521"/>
    </w:rPr>
  </w:style>
  <w:style w:type="paragraph" w:customStyle="1" w:styleId="36">
    <w:name w:val="Table Paragraph"/>
    <w:basedOn w:val="1"/>
    <w:autoRedefine/>
    <w:qFormat/>
    <w:uiPriority w:val="1"/>
    <w:rPr>
      <w:rFonts w:ascii="宋体" w:hAnsi="宋体" w:eastAsia="宋体" w:cs="宋体"/>
      <w:lang w:val="zh-CN" w:bidi="zh-CN"/>
    </w:rPr>
  </w:style>
  <w:style w:type="character" w:customStyle="1" w:styleId="37">
    <w:name w:val="页眉 Char"/>
    <w:basedOn w:val="17"/>
    <w:link w:val="10"/>
    <w:autoRedefine/>
    <w:qFormat/>
    <w:uiPriority w:val="0"/>
    <w:rPr>
      <w:rFonts w:asciiTheme="minorHAnsi" w:hAnsiTheme="minorHAnsi" w:eastAsiaTheme="minorEastAsia" w:cstheme="minorBidi"/>
      <w:kern w:val="2"/>
      <w:sz w:val="18"/>
      <w:szCs w:val="18"/>
    </w:rPr>
  </w:style>
  <w:style w:type="paragraph" w:styleId="38">
    <w:name w:val="List Paragraph"/>
    <w:basedOn w:val="1"/>
    <w:autoRedefine/>
    <w:unhideWhenUsed/>
    <w:qFormat/>
    <w:uiPriority w:val="99"/>
    <w:pPr>
      <w:ind w:firstLine="420" w:firstLineChars="200"/>
    </w:pPr>
  </w:style>
  <w:style w:type="paragraph" w:customStyle="1" w:styleId="39">
    <w:name w:val="正文1"/>
    <w:basedOn w:val="1"/>
    <w:autoRedefine/>
    <w:qFormat/>
    <w:uiPriority w:val="0"/>
    <w:pPr>
      <w:spacing w:line="400" w:lineRule="exact"/>
    </w:pPr>
    <w:rPr>
      <w:rFonts w:ascii="宋体" w:hAnsi="宋体" w:cs="宋体"/>
      <w:b/>
      <w:bCs/>
      <w:color w:val="000000"/>
      <w:kern w:val="0"/>
      <w:szCs w:val="21"/>
    </w:rPr>
  </w:style>
  <w:style w:type="character" w:customStyle="1" w:styleId="40">
    <w:name w:val="NormalCharacter"/>
    <w:autoRedefine/>
    <w:semiHidden/>
    <w:qFormat/>
    <w:uiPriority w:val="0"/>
  </w:style>
  <w:style w:type="character" w:customStyle="1" w:styleId="41">
    <w:name w:val="批注框文本 Char"/>
    <w:basedOn w:val="17"/>
    <w:link w:val="7"/>
    <w:autoRedefine/>
    <w:qFormat/>
    <w:uiPriority w:val="0"/>
    <w:rPr>
      <w:rFonts w:asciiTheme="minorHAnsi" w:hAnsiTheme="minorHAnsi" w:eastAsiaTheme="minorEastAsia" w:cstheme="minorBidi"/>
      <w:kern w:val="2"/>
      <w:sz w:val="18"/>
      <w:szCs w:val="18"/>
    </w:rPr>
  </w:style>
  <w:style w:type="paragraph" w:customStyle="1" w:styleId="42">
    <w:name w:val="Table Text"/>
    <w:basedOn w:val="1"/>
    <w:semiHidden/>
    <w:qFormat/>
    <w:uiPriority w:val="0"/>
    <w:rPr>
      <w:rFonts w:ascii="宋体" w:hAnsi="宋体" w:eastAsia="宋体" w:cs="宋体"/>
      <w:sz w:val="22"/>
      <w:szCs w:val="22"/>
      <w:lang w:val="en-US" w:eastAsia="en-US" w:bidi="ar-SA"/>
    </w:rPr>
  </w:style>
  <w:style w:type="table" w:customStyle="1" w:styleId="4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00EF275">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711EC83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8689</Words>
  <Characters>9389</Characters>
  <Lines>141</Lines>
  <Paragraphs>39</Paragraphs>
  <TotalTime>24</TotalTime>
  <ScaleCrop>false</ScaleCrop>
  <LinksUpToDate>false</LinksUpToDate>
  <CharactersWithSpaces>9811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cp:lastPrinted>2024-08-23T07:27:00Z</cp:lastPrinted>
  <dcterms:modified xsi:type="dcterms:W3CDTF">2024-11-27T08:54:11Z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BBB8C38D3DAB490095D5ECAA2CCFC6CF_13</vt:lpwstr>
  </property>
</Properties>
</file>